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CC43C9" w14:textId="641AF679" w:rsidR="0091363D" w:rsidRDefault="0091363D" w:rsidP="0091363D">
      <w:pPr>
        <w:pStyle w:val="Heading4"/>
        <w:numPr>
          <w:ilvl w:val="0"/>
          <w:numId w:val="0"/>
        </w:numPr>
        <w:ind w:left="864" w:hanging="864"/>
      </w:pPr>
      <w:bookmarkStart w:id="0" w:name="_Ref127521496"/>
      <w:bookmarkStart w:id="1" w:name="_Ref127532604"/>
      <w:bookmarkStart w:id="2" w:name="_Ref127532781"/>
      <w:bookmarkStart w:id="3" w:name="_Toc129518098"/>
      <w:bookmarkStart w:id="4" w:name="_Toc132376381"/>
      <w:r>
        <w:t>2.6.7.2</w:t>
      </w:r>
      <w:r w:rsidR="002446E0">
        <w:t xml:space="preserve"> </w:t>
      </w:r>
      <w:r>
        <w:t>Estimated Groundwater Through Flow &amp; Velocity Rates</w:t>
      </w:r>
      <w:bookmarkEnd w:id="0"/>
      <w:bookmarkEnd w:id="1"/>
      <w:bookmarkEnd w:id="2"/>
      <w:bookmarkEnd w:id="3"/>
      <w:bookmarkEnd w:id="4"/>
    </w:p>
    <w:p w14:paraId="05514D51" w14:textId="77777777" w:rsidR="0091363D" w:rsidRDefault="0091363D" w:rsidP="0091363D">
      <w:r>
        <w:t>Groundwater through flow can estimated approximately wherever there is a predominant groundwater flow direction and independent estimates of the following parameters –</w:t>
      </w:r>
    </w:p>
    <w:p w14:paraId="1B0FC0FE" w14:textId="77777777" w:rsidR="0091363D" w:rsidRDefault="0091363D" w:rsidP="0091363D">
      <w:pPr>
        <w:pStyle w:val="ListParagraph"/>
        <w:numPr>
          <w:ilvl w:val="0"/>
          <w:numId w:val="2"/>
        </w:numPr>
      </w:pPr>
      <w:r>
        <w:t>Mean hydraulic conductivity,</w:t>
      </w:r>
    </w:p>
    <w:p w14:paraId="466B9C53" w14:textId="77777777" w:rsidR="0091363D" w:rsidRDefault="0091363D" w:rsidP="0091363D">
      <w:pPr>
        <w:pStyle w:val="ListParagraph"/>
        <w:numPr>
          <w:ilvl w:val="0"/>
          <w:numId w:val="2"/>
        </w:numPr>
      </w:pPr>
      <w:r>
        <w:t xml:space="preserve">Mean saturated thickness, and </w:t>
      </w:r>
    </w:p>
    <w:p w14:paraId="29590401" w14:textId="77777777" w:rsidR="0091363D" w:rsidRDefault="0091363D" w:rsidP="0091363D">
      <w:pPr>
        <w:pStyle w:val="ListParagraph"/>
        <w:numPr>
          <w:ilvl w:val="0"/>
          <w:numId w:val="2"/>
        </w:numPr>
      </w:pPr>
      <w:r>
        <w:t>Mean groundwater hydraulic gradient.</w:t>
      </w:r>
    </w:p>
    <w:p w14:paraId="4CFB5551" w14:textId="6BCA7A2D" w:rsidR="007B0F40" w:rsidRPr="007B0F40" w:rsidRDefault="007B0F40" w:rsidP="0091363D">
      <w:pPr>
        <w:rPr>
          <w:b/>
          <w:bCs/>
        </w:rPr>
      </w:pPr>
      <w:r w:rsidRPr="007B0F40">
        <w:rPr>
          <w:b/>
          <w:bCs/>
        </w:rPr>
        <w:t xml:space="preserve">Top </w:t>
      </w:r>
      <w:r w:rsidR="00283B7C">
        <w:rPr>
          <w:b/>
          <w:bCs/>
        </w:rPr>
        <w:t xml:space="preserve">10 m to </w:t>
      </w:r>
      <w:r w:rsidRPr="007B0F40">
        <w:rPr>
          <w:b/>
          <w:bCs/>
        </w:rPr>
        <w:t>15 m Depth of Sediments</w:t>
      </w:r>
    </w:p>
    <w:p w14:paraId="4CEDC31F" w14:textId="00B7B480" w:rsidR="0091363D" w:rsidRDefault="0091363D" w:rsidP="0091363D">
      <w:r w:rsidRPr="0091363D">
        <w:t>These parameter values were obtained from the following sources. The hydraulic conductivity was average along the main groundwater flow path by taking a profile through interpolated horizontal hydraulic conductivity in Figure 30, the mean saturated thickness was estimated from hydrological setting discussion in Section 2.4 Geology with Figure 7, Section 2.6.1, and Section 2.6.5, while the mean hydraulic gradient was obtained from an extract from Figure 32 based on corrected November groundwater elevations. The flow from perpendicular to the Cowan Block’s principal boundaries (Collins Creek and the Northern Boundary Drain) is approximately 800 m.</w:t>
      </w:r>
    </w:p>
    <w:p w14:paraId="063B90DD" w14:textId="77777777" w:rsidR="0091363D" w:rsidRDefault="0091363D" w:rsidP="0091363D">
      <w:r>
        <w:t>The basic equation for the calculation of through flow is as follows –</w:t>
      </w:r>
    </w:p>
    <w:p w14:paraId="36310F7B" w14:textId="77777777" w:rsidR="0091363D" w:rsidRPr="002D76D7" w:rsidRDefault="0091363D" w:rsidP="0091363D">
      <w:pPr>
        <w:ind w:left="720" w:firstLine="720"/>
        <w:rPr>
          <w:rFonts w:cstheme="minorHAnsi"/>
        </w:rPr>
      </w:pPr>
      <w:r>
        <w:t>Q =</w:t>
      </w:r>
      <w:r>
        <w:tab/>
      </w:r>
      <w:r>
        <w:rPr>
          <w:rFonts w:cstheme="minorHAnsi"/>
        </w:rPr>
        <w:t xml:space="preserve">(K b) </w:t>
      </w:r>
      <w:proofErr w:type="spellStart"/>
      <w:r>
        <w:rPr>
          <w:rFonts w:cstheme="minorHAnsi"/>
        </w:rPr>
        <w:t>i</w:t>
      </w:r>
      <w:proofErr w:type="spellEnd"/>
      <w:r>
        <w:rPr>
          <w:rFonts w:cstheme="minorHAnsi"/>
        </w:rPr>
        <w:t xml:space="preserve"> W</w:t>
      </w:r>
    </w:p>
    <w:p w14:paraId="132BA712" w14:textId="2CD863C0" w:rsidR="0091363D" w:rsidRDefault="0091363D" w:rsidP="0091363D">
      <w:r>
        <w:tab/>
      </w:r>
      <w:r>
        <w:tab/>
        <w:t xml:space="preserve">   =</w:t>
      </w:r>
      <w:r>
        <w:tab/>
        <w:t xml:space="preserve">(9.14 m/d x </w:t>
      </w:r>
      <w:r w:rsidR="00291252">
        <w:t>10</w:t>
      </w:r>
      <w:r>
        <w:t xml:space="preserve"> m) x 0.0083 x 800</w:t>
      </w:r>
    </w:p>
    <w:p w14:paraId="0CB518A9" w14:textId="1E468BE8" w:rsidR="0091363D" w:rsidRDefault="0091363D" w:rsidP="0091363D">
      <w:r>
        <w:tab/>
      </w:r>
      <w:r>
        <w:tab/>
        <w:t xml:space="preserve">   =</w:t>
      </w:r>
      <w:r>
        <w:tab/>
      </w:r>
      <w:r w:rsidR="00291252">
        <w:t>607</w:t>
      </w:r>
      <w:r>
        <w:t xml:space="preserve"> m</w:t>
      </w:r>
      <w:r w:rsidRPr="00CE75F0">
        <w:rPr>
          <w:vertAlign w:val="superscript"/>
        </w:rPr>
        <w:t>3</w:t>
      </w:r>
      <w:r>
        <w:t xml:space="preserve">/d (or </w:t>
      </w:r>
      <w:r w:rsidR="00291252">
        <w:t>7</w:t>
      </w:r>
      <w:r>
        <w:t xml:space="preserve"> L/s)</w:t>
      </w:r>
    </w:p>
    <w:p w14:paraId="1A7FCAF0" w14:textId="77777777" w:rsidR="0091363D" w:rsidRDefault="0091363D" w:rsidP="0091363D">
      <w:r>
        <w:t>Where:</w:t>
      </w:r>
    </w:p>
    <w:p w14:paraId="33990DDD" w14:textId="77777777" w:rsidR="0091363D" w:rsidRDefault="0091363D" w:rsidP="0091363D">
      <w:pPr>
        <w:ind w:firstLine="720"/>
      </w:pPr>
      <w:r>
        <w:t>K =</w:t>
      </w:r>
      <w:r>
        <w:tab/>
        <w:t>Mean horizontal hydraulic conductivity</w:t>
      </w:r>
    </w:p>
    <w:p w14:paraId="11B5A55D" w14:textId="77777777" w:rsidR="0091363D" w:rsidRDefault="0091363D" w:rsidP="0091363D">
      <w:pPr>
        <w:ind w:firstLine="720"/>
      </w:pPr>
      <w:r>
        <w:t xml:space="preserve">   =</w:t>
      </w:r>
      <w:r>
        <w:tab/>
        <w:t>9.14 m/d</w:t>
      </w:r>
    </w:p>
    <w:p w14:paraId="00959E9B" w14:textId="77777777" w:rsidR="0091363D" w:rsidRDefault="0091363D" w:rsidP="0091363D">
      <w:pPr>
        <w:ind w:firstLine="720"/>
      </w:pPr>
      <w:r>
        <w:t>b =</w:t>
      </w:r>
      <w:r>
        <w:tab/>
        <w:t xml:space="preserve">Mean saturated thickness </w:t>
      </w:r>
    </w:p>
    <w:p w14:paraId="06F24E2B" w14:textId="1ADB5B1F" w:rsidR="0091363D" w:rsidRDefault="0091363D" w:rsidP="0091363D">
      <w:pPr>
        <w:ind w:firstLine="720"/>
      </w:pPr>
      <w:r>
        <w:t xml:space="preserve">   =</w:t>
      </w:r>
      <w:r>
        <w:tab/>
        <w:t>1</w:t>
      </w:r>
      <w:r w:rsidR="00291252">
        <w:t>0</w:t>
      </w:r>
      <w:r>
        <w:t xml:space="preserve"> m</w:t>
      </w:r>
    </w:p>
    <w:p w14:paraId="18AD8165" w14:textId="77777777" w:rsidR="0091363D" w:rsidRDefault="0091363D" w:rsidP="0091363D">
      <w:pPr>
        <w:ind w:firstLine="720"/>
      </w:pPr>
      <w:proofErr w:type="spellStart"/>
      <w:r>
        <w:t>i</w:t>
      </w:r>
      <w:proofErr w:type="spellEnd"/>
      <w:r>
        <w:t xml:space="preserve"> =</w:t>
      </w:r>
      <w:r>
        <w:tab/>
        <w:t>Mean groundwater hydraulic gradient</w:t>
      </w:r>
    </w:p>
    <w:p w14:paraId="5349C064" w14:textId="77777777" w:rsidR="0091363D" w:rsidRDefault="0091363D" w:rsidP="0091363D">
      <w:pPr>
        <w:ind w:firstLine="720"/>
      </w:pPr>
      <w:r>
        <w:t xml:space="preserve">  =</w:t>
      </w:r>
      <w:r>
        <w:tab/>
        <w:t>0.0083 m/m</w:t>
      </w:r>
    </w:p>
    <w:p w14:paraId="4F66A377" w14:textId="77777777" w:rsidR="0091363D" w:rsidRDefault="0091363D" w:rsidP="0091363D">
      <w:pPr>
        <w:ind w:firstLine="720"/>
      </w:pPr>
      <w:r>
        <w:t>W =</w:t>
      </w:r>
      <w:r>
        <w:tab/>
        <w:t>Groundwater flow front</w:t>
      </w:r>
    </w:p>
    <w:p w14:paraId="2F99FA60" w14:textId="77777777" w:rsidR="0091363D" w:rsidRDefault="0091363D" w:rsidP="0091363D">
      <w:pPr>
        <w:ind w:firstLine="720"/>
      </w:pPr>
      <w:r>
        <w:t xml:space="preserve">    =</w:t>
      </w:r>
      <w:r>
        <w:tab/>
        <w:t>800 m</w:t>
      </w:r>
    </w:p>
    <w:p w14:paraId="34C938AF" w14:textId="77777777" w:rsidR="0091363D" w:rsidRDefault="0091363D"/>
    <w:p w14:paraId="7ACC25BB" w14:textId="59D05477" w:rsidR="007B0F40" w:rsidRDefault="007B0F40">
      <w:r>
        <w:rPr>
          <w:b/>
          <w:bCs/>
        </w:rPr>
        <w:t>Basal Gravels</w:t>
      </w:r>
      <w:r w:rsidR="00291252">
        <w:rPr>
          <w:b/>
          <w:bCs/>
        </w:rPr>
        <w:t xml:space="preserve"> (elevations from -5 m to -20 m MSL)</w:t>
      </w:r>
    </w:p>
    <w:p w14:paraId="47910043" w14:textId="77777777" w:rsidR="007B0F40" w:rsidRPr="002D76D7" w:rsidRDefault="007B0F40" w:rsidP="007B0F40">
      <w:pPr>
        <w:ind w:left="720" w:firstLine="720"/>
        <w:rPr>
          <w:rFonts w:cstheme="minorHAnsi"/>
        </w:rPr>
      </w:pPr>
      <w:r>
        <w:t>Q =</w:t>
      </w:r>
      <w:r>
        <w:tab/>
      </w:r>
      <w:r>
        <w:rPr>
          <w:rFonts w:cstheme="minorHAnsi"/>
        </w:rPr>
        <w:t xml:space="preserve">(K b) </w:t>
      </w:r>
      <w:proofErr w:type="spellStart"/>
      <w:r>
        <w:rPr>
          <w:rFonts w:cstheme="minorHAnsi"/>
        </w:rPr>
        <w:t>i</w:t>
      </w:r>
      <w:proofErr w:type="spellEnd"/>
      <w:r>
        <w:rPr>
          <w:rFonts w:cstheme="minorHAnsi"/>
        </w:rPr>
        <w:t xml:space="preserve"> W</w:t>
      </w:r>
    </w:p>
    <w:p w14:paraId="20C3D81E" w14:textId="4172815C" w:rsidR="007B0F40" w:rsidRDefault="007B0F40" w:rsidP="007B0F40">
      <w:r>
        <w:tab/>
      </w:r>
      <w:r>
        <w:tab/>
        <w:t xml:space="preserve">   =</w:t>
      </w:r>
      <w:r>
        <w:tab/>
        <w:t>(</w:t>
      </w:r>
      <w:r w:rsidR="00B1341F">
        <w:t>56</w:t>
      </w:r>
      <w:r>
        <w:t xml:space="preserve"> m/d x </w:t>
      </w:r>
      <w:r w:rsidR="00B1341F">
        <w:t>15</w:t>
      </w:r>
      <w:r>
        <w:t xml:space="preserve"> m) x 0.00</w:t>
      </w:r>
      <w:r w:rsidR="00B1341F">
        <w:t>2</w:t>
      </w:r>
      <w:r>
        <w:t xml:space="preserve"> x 800</w:t>
      </w:r>
    </w:p>
    <w:p w14:paraId="1446BF35" w14:textId="0C3FA1CA" w:rsidR="007B0F40" w:rsidRDefault="007B0F40" w:rsidP="007B0F40">
      <w:r>
        <w:tab/>
      </w:r>
      <w:r>
        <w:tab/>
        <w:t xml:space="preserve">   =</w:t>
      </w:r>
      <w:r>
        <w:tab/>
      </w:r>
      <w:r w:rsidR="00EC2A70">
        <w:t>1</w:t>
      </w:r>
      <w:r w:rsidR="001E7B68">
        <w:t>,</w:t>
      </w:r>
      <w:r w:rsidR="00EC2A70">
        <w:t>344</w:t>
      </w:r>
      <w:r>
        <w:t xml:space="preserve"> m</w:t>
      </w:r>
      <w:r w:rsidRPr="00CE75F0">
        <w:rPr>
          <w:vertAlign w:val="superscript"/>
        </w:rPr>
        <w:t>3</w:t>
      </w:r>
      <w:r>
        <w:t xml:space="preserve">/d (or </w:t>
      </w:r>
      <w:r w:rsidR="00EC2A70">
        <w:t>15</w:t>
      </w:r>
      <w:r w:rsidR="00640CEF">
        <w:t>.5</w:t>
      </w:r>
      <w:r>
        <w:t xml:space="preserve"> L/s)</w:t>
      </w:r>
    </w:p>
    <w:p w14:paraId="79221297" w14:textId="77777777" w:rsidR="007B0F40" w:rsidRDefault="007B0F40" w:rsidP="007B0F40">
      <w:r>
        <w:t>Where:</w:t>
      </w:r>
    </w:p>
    <w:p w14:paraId="2B302FDB" w14:textId="77777777" w:rsidR="007B0F40" w:rsidRDefault="007B0F40" w:rsidP="007B0F40">
      <w:pPr>
        <w:ind w:firstLine="720"/>
      </w:pPr>
      <w:r>
        <w:t>K =</w:t>
      </w:r>
      <w:r>
        <w:tab/>
        <w:t>Mean horizontal hydraulic conductivity</w:t>
      </w:r>
    </w:p>
    <w:p w14:paraId="72A8A7EB" w14:textId="6B3BB20B" w:rsidR="007B0F40" w:rsidRDefault="007B0F40" w:rsidP="007B0F40">
      <w:pPr>
        <w:ind w:firstLine="720"/>
      </w:pPr>
      <w:r>
        <w:t xml:space="preserve">   =</w:t>
      </w:r>
      <w:r>
        <w:tab/>
      </w:r>
      <w:r w:rsidR="00640CEF">
        <w:t>56</w:t>
      </w:r>
      <w:r>
        <w:t xml:space="preserve"> m/d</w:t>
      </w:r>
    </w:p>
    <w:p w14:paraId="4B3EC786" w14:textId="77777777" w:rsidR="007B0F40" w:rsidRDefault="007B0F40" w:rsidP="007B0F40">
      <w:pPr>
        <w:ind w:firstLine="720"/>
      </w:pPr>
      <w:r>
        <w:t>b =</w:t>
      </w:r>
      <w:r>
        <w:tab/>
        <w:t xml:space="preserve">Mean saturated thickness </w:t>
      </w:r>
    </w:p>
    <w:p w14:paraId="427941E9" w14:textId="77777777" w:rsidR="007B0F40" w:rsidRDefault="007B0F40" w:rsidP="007B0F40">
      <w:pPr>
        <w:ind w:firstLine="720"/>
      </w:pPr>
      <w:r>
        <w:t xml:space="preserve">   =</w:t>
      </w:r>
      <w:r>
        <w:tab/>
        <w:t>15 m</w:t>
      </w:r>
    </w:p>
    <w:p w14:paraId="40E26681" w14:textId="77777777" w:rsidR="007B0F40" w:rsidRDefault="007B0F40" w:rsidP="007B0F40">
      <w:pPr>
        <w:ind w:firstLine="720"/>
      </w:pPr>
      <w:proofErr w:type="spellStart"/>
      <w:r>
        <w:lastRenderedPageBreak/>
        <w:t>i</w:t>
      </w:r>
      <w:proofErr w:type="spellEnd"/>
      <w:r>
        <w:t xml:space="preserve"> =</w:t>
      </w:r>
      <w:r>
        <w:tab/>
        <w:t>Mean groundwater hydraulic gradient</w:t>
      </w:r>
    </w:p>
    <w:p w14:paraId="48833B0E" w14:textId="69AA1C3C" w:rsidR="007B0F40" w:rsidRDefault="007B0F40" w:rsidP="007B0F40">
      <w:pPr>
        <w:ind w:firstLine="720"/>
      </w:pPr>
      <w:r>
        <w:t xml:space="preserve">  =</w:t>
      </w:r>
      <w:r>
        <w:tab/>
        <w:t>0.00</w:t>
      </w:r>
      <w:r w:rsidR="00EC2A70">
        <w:t>2</w:t>
      </w:r>
      <w:r>
        <w:t xml:space="preserve"> m/m</w:t>
      </w:r>
    </w:p>
    <w:p w14:paraId="6D7D59E8" w14:textId="77777777" w:rsidR="007B0F40" w:rsidRDefault="007B0F40" w:rsidP="007B0F40">
      <w:pPr>
        <w:ind w:firstLine="720"/>
      </w:pPr>
      <w:r>
        <w:t>W =</w:t>
      </w:r>
      <w:r>
        <w:tab/>
        <w:t>Groundwater flow front</w:t>
      </w:r>
    </w:p>
    <w:p w14:paraId="7CEF009B" w14:textId="77777777" w:rsidR="007B0F40" w:rsidRDefault="007B0F40" w:rsidP="007B0F40">
      <w:pPr>
        <w:ind w:firstLine="720"/>
      </w:pPr>
      <w:r>
        <w:t xml:space="preserve">    =</w:t>
      </w:r>
      <w:r>
        <w:tab/>
        <w:t>800 m</w:t>
      </w:r>
    </w:p>
    <w:p w14:paraId="3CD312C5" w14:textId="7B7B3431" w:rsidR="007B0F40" w:rsidRDefault="00640CEF" w:rsidP="001B4F44">
      <w:pPr>
        <w:ind w:left="567" w:hanging="567"/>
      </w:pPr>
      <w:r>
        <w:t xml:space="preserve">Note: The </w:t>
      </w:r>
      <w:r w:rsidR="001B4F44">
        <w:t xml:space="preserve">flatter </w:t>
      </w:r>
      <w:r w:rsidR="003054D6">
        <w:t xml:space="preserve">hydraulic gradient is taken from that measured </w:t>
      </w:r>
      <w:r w:rsidR="000B6B53">
        <w:t>between existing groundwater investigation bore</w:t>
      </w:r>
      <w:r w:rsidR="001B4F44">
        <w:t>s</w:t>
      </w:r>
      <w:r w:rsidR="000B6B53">
        <w:t xml:space="preserve"> NB-7 (Deep) and WS3200D that </w:t>
      </w:r>
      <w:r w:rsidR="001B4F44">
        <w:t>a</w:t>
      </w:r>
      <w:r w:rsidR="000B6B53">
        <w:t xml:space="preserve">re located to the north of </w:t>
      </w:r>
      <w:r w:rsidR="001B4F44">
        <w:t>the Cowan Block (see Figure 1).</w:t>
      </w:r>
      <w:r w:rsidR="003054D6">
        <w:t xml:space="preserve"> </w:t>
      </w:r>
    </w:p>
    <w:p w14:paraId="4EC35B03" w14:textId="77777777" w:rsidR="001B4F44" w:rsidRDefault="001B4F44" w:rsidP="001B4F44">
      <w:pPr>
        <w:ind w:left="567" w:hanging="567"/>
      </w:pPr>
    </w:p>
    <w:p w14:paraId="6D2C303B" w14:textId="390221FD" w:rsidR="00E83ABD" w:rsidRDefault="00E83ABD">
      <w:pPr>
        <w:spacing w:before="0" w:after="160" w:line="259" w:lineRule="auto"/>
        <w:jc w:val="left"/>
        <w:rPr>
          <w:b/>
          <w:bCs/>
        </w:rPr>
      </w:pPr>
      <w:r>
        <w:rPr>
          <w:b/>
          <w:bCs/>
        </w:rPr>
        <w:t xml:space="preserve">Basis for </w:t>
      </w:r>
      <w:r w:rsidR="0033500D">
        <w:rPr>
          <w:b/>
          <w:bCs/>
        </w:rPr>
        <w:t xml:space="preserve">estimating </w:t>
      </w:r>
      <w:r>
        <w:rPr>
          <w:b/>
          <w:bCs/>
        </w:rPr>
        <w:t>Basal Gravel Hydraulic Conductivity and Transmissivity</w:t>
      </w:r>
    </w:p>
    <w:p w14:paraId="4F8D65AE" w14:textId="2C02C85E" w:rsidR="00AF163A" w:rsidRDefault="00E83ABD">
      <w:pPr>
        <w:spacing w:before="0" w:after="160" w:line="259" w:lineRule="auto"/>
        <w:jc w:val="left"/>
      </w:pPr>
      <w:r>
        <w:t xml:space="preserve">The </w:t>
      </w:r>
      <w:r w:rsidR="002446E0">
        <w:t>b</w:t>
      </w:r>
      <w:r>
        <w:t>asal gravels (represented in Layer 2 of the MODFLOW model</w:t>
      </w:r>
      <w:r w:rsidR="00AF163A">
        <w:t xml:space="preserve"> from elevations -5 m to -20 m MSL</w:t>
      </w:r>
      <w:r>
        <w:t>) has not be the subject of aquifer testing or slug testing within the Cowan Block. However, an aquifer test using bore</w:t>
      </w:r>
      <w:r w:rsidR="00AF163A">
        <w:t>s</w:t>
      </w:r>
      <w:r>
        <w:t xml:space="preserve"> number</w:t>
      </w:r>
      <w:r w:rsidR="00AF163A">
        <w:t>ed</w:t>
      </w:r>
      <w:r>
        <w:t xml:space="preserve"> NB-7 and NB-7(OBS)</w:t>
      </w:r>
      <w:r w:rsidR="00AF163A">
        <w:t>. The test bore had a total depth of 24.7m and extended to the base of Holocene sediments to the decomposed sandstone basement. The test bore was screened from depths of 18.7 m to 24.7 m BGL (-10.1 m to -16.1 m MSL), which falls into the range of the basal gravel (model Layer 2) in the site description.</w:t>
      </w:r>
    </w:p>
    <w:p w14:paraId="0771459D" w14:textId="76EB3B86" w:rsidR="004D3921" w:rsidRDefault="00AF163A">
      <w:pPr>
        <w:spacing w:before="0" w:after="160" w:line="259" w:lineRule="auto"/>
        <w:jc w:val="left"/>
      </w:pPr>
      <w:r>
        <w:t xml:space="preserve">The bore log of NB-7 is shown below </w:t>
      </w:r>
      <w:r w:rsidR="00B1341F">
        <w:t xml:space="preserve">in Appendix A, </w:t>
      </w:r>
      <w:r>
        <w:t xml:space="preserve">and the </w:t>
      </w:r>
      <w:r w:rsidR="00B1341F">
        <w:t xml:space="preserve">logged </w:t>
      </w:r>
      <w:r w:rsidR="004D3921">
        <w:t>clean</w:t>
      </w:r>
      <w:r w:rsidR="00B1341F">
        <w:t xml:space="preserve"> sandy</w:t>
      </w:r>
      <w:r w:rsidR="004D3921">
        <w:t xml:space="preserve"> gravel most representative of the basal gravel was encountered at a depth of 11 m BGL (-2.4 m MSL). An observation bore labelled NB-7(OBS) was drilled to a similar depth and screened to overlap with NB-7. The observation bore was placed at a radius was 15.2 m.</w:t>
      </w:r>
    </w:p>
    <w:p w14:paraId="4D355D6D" w14:textId="6146DAB3" w:rsidR="004D3921" w:rsidRDefault="004D3921">
      <w:pPr>
        <w:spacing w:before="0" w:after="160" w:line="259" w:lineRule="auto"/>
        <w:jc w:val="left"/>
      </w:pPr>
      <w:r>
        <w:t>A 150 minute (2.5 hours) at a discharge rate of 206 m</w:t>
      </w:r>
      <w:r w:rsidRPr="00640CEF">
        <w:rPr>
          <w:vertAlign w:val="superscript"/>
        </w:rPr>
        <w:t>3</w:t>
      </w:r>
      <w:r>
        <w:t>/d (2.4 L/s). Groundwater level was monitored in the pumped bore and observation bore</w:t>
      </w:r>
      <w:r w:rsidR="00640CEF">
        <w:t xml:space="preserve"> during the pumping phase and recovery.</w:t>
      </w:r>
    </w:p>
    <w:p w14:paraId="316ADF8E" w14:textId="1E09AE1B" w:rsidR="00640CEF" w:rsidRDefault="00640CEF" w:rsidP="00640CEF">
      <w:pPr>
        <w:pStyle w:val="Caption"/>
      </w:pPr>
      <w:r>
        <w:t xml:space="preserve">Table </w:t>
      </w:r>
      <w:fldSimple w:instr=" SEQ Table \* ARABIC ">
        <w:r w:rsidR="00291192">
          <w:rPr>
            <w:noProof/>
          </w:rPr>
          <w:t>1</w:t>
        </w:r>
      </w:fldSimple>
      <w:r>
        <w:t>: Summary of NB-7 pumping test interpretation</w:t>
      </w:r>
    </w:p>
    <w:tbl>
      <w:tblPr>
        <w:tblW w:w="9866"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3"/>
        <w:gridCol w:w="1134"/>
        <w:gridCol w:w="983"/>
        <w:gridCol w:w="1345"/>
        <w:gridCol w:w="1148"/>
        <w:gridCol w:w="1351"/>
        <w:gridCol w:w="1155"/>
        <w:gridCol w:w="6"/>
        <w:gridCol w:w="1301"/>
      </w:tblGrid>
      <w:tr w:rsidR="004D3921" w14:paraId="614BB5DE" w14:textId="77777777" w:rsidTr="00640CEF">
        <w:trPr>
          <w:trHeight w:val="290"/>
        </w:trPr>
        <w:tc>
          <w:tcPr>
            <w:tcW w:w="1443" w:type="dxa"/>
          </w:tcPr>
          <w:p w14:paraId="134DEE1A" w14:textId="77777777" w:rsidR="004D3921" w:rsidRPr="00FF7D58" w:rsidRDefault="004D3921" w:rsidP="00013C43">
            <w:pPr>
              <w:pStyle w:val="TableText"/>
              <w:rPr>
                <w:b/>
                <w:bCs/>
                <w:lang w:eastAsia="en-NZ"/>
              </w:rPr>
            </w:pPr>
          </w:p>
        </w:tc>
        <w:tc>
          <w:tcPr>
            <w:tcW w:w="1134" w:type="dxa"/>
          </w:tcPr>
          <w:p w14:paraId="2FB40435" w14:textId="77777777" w:rsidR="004D3921" w:rsidRDefault="004D3921" w:rsidP="00013C43">
            <w:pPr>
              <w:pStyle w:val="TableText"/>
              <w:rPr>
                <w:b/>
                <w:bCs/>
                <w:lang w:eastAsia="en-NZ"/>
              </w:rPr>
            </w:pPr>
          </w:p>
        </w:tc>
        <w:tc>
          <w:tcPr>
            <w:tcW w:w="983" w:type="dxa"/>
          </w:tcPr>
          <w:p w14:paraId="281237E7" w14:textId="77777777" w:rsidR="004D3921" w:rsidRDefault="004D3921" w:rsidP="00013C43">
            <w:pPr>
              <w:pStyle w:val="TableText"/>
              <w:rPr>
                <w:b/>
                <w:bCs/>
                <w:lang w:eastAsia="en-NZ"/>
              </w:rPr>
            </w:pPr>
          </w:p>
        </w:tc>
        <w:tc>
          <w:tcPr>
            <w:tcW w:w="2493" w:type="dxa"/>
            <w:gridSpan w:val="2"/>
          </w:tcPr>
          <w:p w14:paraId="5DF759CE" w14:textId="77777777" w:rsidR="004D3921" w:rsidRDefault="004D3921" w:rsidP="00013C43">
            <w:pPr>
              <w:pStyle w:val="TableText"/>
              <w:rPr>
                <w:b/>
                <w:bCs/>
                <w:lang w:eastAsia="en-NZ"/>
              </w:rPr>
            </w:pPr>
            <w:r>
              <w:rPr>
                <w:b/>
                <w:bCs/>
                <w:lang w:eastAsia="en-NZ"/>
              </w:rPr>
              <w:t>Transmissivity (m</w:t>
            </w:r>
            <w:r w:rsidRPr="00BC7727">
              <w:rPr>
                <w:b/>
                <w:bCs/>
                <w:vertAlign w:val="superscript"/>
                <w:lang w:eastAsia="en-NZ"/>
              </w:rPr>
              <w:t>2</w:t>
            </w:r>
            <w:r>
              <w:rPr>
                <w:b/>
                <w:bCs/>
                <w:lang w:eastAsia="en-NZ"/>
              </w:rPr>
              <w:t>/d)</w:t>
            </w:r>
          </w:p>
        </w:tc>
        <w:tc>
          <w:tcPr>
            <w:tcW w:w="2512" w:type="dxa"/>
            <w:gridSpan w:val="3"/>
          </w:tcPr>
          <w:p w14:paraId="753D1936" w14:textId="77777777" w:rsidR="004D3921" w:rsidRDefault="004D3921" w:rsidP="00013C43">
            <w:pPr>
              <w:pStyle w:val="TableText"/>
              <w:rPr>
                <w:b/>
                <w:bCs/>
                <w:lang w:eastAsia="en-NZ"/>
              </w:rPr>
            </w:pPr>
            <w:r>
              <w:rPr>
                <w:b/>
                <w:bCs/>
                <w:lang w:eastAsia="en-NZ"/>
              </w:rPr>
              <w:t>Hyd. Conductivity (m/d)</w:t>
            </w:r>
          </w:p>
        </w:tc>
        <w:tc>
          <w:tcPr>
            <w:tcW w:w="1301" w:type="dxa"/>
          </w:tcPr>
          <w:p w14:paraId="43FD239A" w14:textId="77777777" w:rsidR="004D3921" w:rsidRDefault="004D3921" w:rsidP="00013C43">
            <w:pPr>
              <w:pStyle w:val="TableText"/>
              <w:rPr>
                <w:b/>
                <w:bCs/>
                <w:lang w:eastAsia="en-NZ"/>
              </w:rPr>
            </w:pPr>
            <w:r>
              <w:rPr>
                <w:b/>
                <w:bCs/>
                <w:lang w:eastAsia="en-NZ"/>
              </w:rPr>
              <w:t>Storage</w:t>
            </w:r>
          </w:p>
        </w:tc>
      </w:tr>
      <w:tr w:rsidR="004D3921" w14:paraId="6E0089C9" w14:textId="77777777" w:rsidTr="00640CEF">
        <w:trPr>
          <w:trHeight w:val="290"/>
        </w:trPr>
        <w:tc>
          <w:tcPr>
            <w:tcW w:w="1443" w:type="dxa"/>
          </w:tcPr>
          <w:p w14:paraId="308CE735" w14:textId="77777777" w:rsidR="004D3921" w:rsidRPr="00FF7D58" w:rsidRDefault="004D3921" w:rsidP="00013C43">
            <w:pPr>
              <w:pStyle w:val="TableText"/>
              <w:rPr>
                <w:b/>
                <w:bCs/>
                <w:lang w:eastAsia="en-NZ"/>
              </w:rPr>
            </w:pPr>
            <w:r w:rsidRPr="00FF7D58">
              <w:rPr>
                <w:b/>
                <w:bCs/>
                <w:lang w:eastAsia="en-NZ"/>
              </w:rPr>
              <w:t>Bore #</w:t>
            </w:r>
          </w:p>
        </w:tc>
        <w:tc>
          <w:tcPr>
            <w:tcW w:w="1134" w:type="dxa"/>
          </w:tcPr>
          <w:p w14:paraId="288EA2C3" w14:textId="77777777" w:rsidR="004D3921" w:rsidRPr="00FF7D58" w:rsidRDefault="004D3921" w:rsidP="00013C43">
            <w:pPr>
              <w:pStyle w:val="TableText"/>
              <w:rPr>
                <w:b/>
                <w:bCs/>
                <w:lang w:eastAsia="en-NZ"/>
              </w:rPr>
            </w:pPr>
            <w:r>
              <w:rPr>
                <w:b/>
                <w:bCs/>
                <w:lang w:eastAsia="en-NZ"/>
              </w:rPr>
              <w:t>Duration (min)</w:t>
            </w:r>
          </w:p>
        </w:tc>
        <w:tc>
          <w:tcPr>
            <w:tcW w:w="983" w:type="dxa"/>
          </w:tcPr>
          <w:p w14:paraId="0306E9C3" w14:textId="77777777" w:rsidR="004D3921" w:rsidRPr="00FF7D58" w:rsidRDefault="004D3921" w:rsidP="00013C43">
            <w:pPr>
              <w:pStyle w:val="TableText"/>
              <w:rPr>
                <w:b/>
                <w:bCs/>
                <w:lang w:eastAsia="en-NZ"/>
              </w:rPr>
            </w:pPr>
            <w:r>
              <w:rPr>
                <w:b/>
                <w:bCs/>
                <w:lang w:eastAsia="en-NZ"/>
              </w:rPr>
              <w:t>Rate (m</w:t>
            </w:r>
            <w:r w:rsidRPr="00BC7727">
              <w:rPr>
                <w:b/>
                <w:bCs/>
                <w:vertAlign w:val="superscript"/>
                <w:lang w:eastAsia="en-NZ"/>
              </w:rPr>
              <w:t>3</w:t>
            </w:r>
            <w:r>
              <w:rPr>
                <w:b/>
                <w:bCs/>
                <w:lang w:eastAsia="en-NZ"/>
              </w:rPr>
              <w:t>/d)</w:t>
            </w:r>
          </w:p>
        </w:tc>
        <w:tc>
          <w:tcPr>
            <w:tcW w:w="1345" w:type="dxa"/>
          </w:tcPr>
          <w:p w14:paraId="3B4285ED" w14:textId="77777777" w:rsidR="004D3921" w:rsidRPr="00FF7D58" w:rsidRDefault="004D3921" w:rsidP="00013C43">
            <w:pPr>
              <w:pStyle w:val="TableText"/>
              <w:rPr>
                <w:b/>
                <w:bCs/>
                <w:lang w:eastAsia="en-NZ"/>
              </w:rPr>
            </w:pPr>
            <w:r>
              <w:rPr>
                <w:b/>
                <w:bCs/>
                <w:lang w:eastAsia="en-NZ"/>
              </w:rPr>
              <w:t>Drawdown</w:t>
            </w:r>
          </w:p>
        </w:tc>
        <w:tc>
          <w:tcPr>
            <w:tcW w:w="1148" w:type="dxa"/>
          </w:tcPr>
          <w:p w14:paraId="0218B5C3" w14:textId="77777777" w:rsidR="004D3921" w:rsidRPr="00FF7D58" w:rsidRDefault="004D3921" w:rsidP="00013C43">
            <w:pPr>
              <w:pStyle w:val="TableText"/>
              <w:rPr>
                <w:b/>
                <w:bCs/>
                <w:lang w:eastAsia="en-NZ"/>
              </w:rPr>
            </w:pPr>
            <w:r>
              <w:rPr>
                <w:b/>
                <w:bCs/>
                <w:lang w:eastAsia="en-NZ"/>
              </w:rPr>
              <w:t>Recovery</w:t>
            </w:r>
          </w:p>
        </w:tc>
        <w:tc>
          <w:tcPr>
            <w:tcW w:w="1351" w:type="dxa"/>
          </w:tcPr>
          <w:p w14:paraId="0901AA19" w14:textId="77777777" w:rsidR="004D3921" w:rsidRPr="00FF7D58" w:rsidRDefault="004D3921" w:rsidP="00013C43">
            <w:pPr>
              <w:pStyle w:val="TableText"/>
              <w:rPr>
                <w:b/>
                <w:bCs/>
                <w:lang w:eastAsia="en-NZ"/>
              </w:rPr>
            </w:pPr>
            <w:r>
              <w:rPr>
                <w:b/>
                <w:bCs/>
                <w:lang w:eastAsia="en-NZ"/>
              </w:rPr>
              <w:t>Drawdown</w:t>
            </w:r>
          </w:p>
        </w:tc>
        <w:tc>
          <w:tcPr>
            <w:tcW w:w="1155" w:type="dxa"/>
          </w:tcPr>
          <w:p w14:paraId="1FE733AA" w14:textId="77777777" w:rsidR="004D3921" w:rsidRPr="00FF7D58" w:rsidRDefault="004D3921" w:rsidP="00013C43">
            <w:pPr>
              <w:pStyle w:val="TableText"/>
              <w:rPr>
                <w:b/>
                <w:bCs/>
                <w:lang w:eastAsia="en-NZ"/>
              </w:rPr>
            </w:pPr>
            <w:r>
              <w:rPr>
                <w:b/>
                <w:bCs/>
                <w:lang w:eastAsia="en-NZ"/>
              </w:rPr>
              <w:t>Recovery</w:t>
            </w:r>
          </w:p>
        </w:tc>
        <w:tc>
          <w:tcPr>
            <w:tcW w:w="1307" w:type="dxa"/>
            <w:gridSpan w:val="2"/>
          </w:tcPr>
          <w:p w14:paraId="03B5BC2C" w14:textId="37993957" w:rsidR="004D3921" w:rsidRDefault="00640CEF" w:rsidP="00013C43">
            <w:pPr>
              <w:pStyle w:val="TableText"/>
              <w:rPr>
                <w:b/>
                <w:bCs/>
                <w:lang w:eastAsia="en-NZ"/>
              </w:rPr>
            </w:pPr>
            <w:r>
              <w:rPr>
                <w:b/>
                <w:bCs/>
                <w:lang w:eastAsia="en-NZ"/>
              </w:rPr>
              <w:t>Storativity</w:t>
            </w:r>
          </w:p>
        </w:tc>
      </w:tr>
      <w:tr w:rsidR="00640CEF" w:rsidRPr="00FF7D58" w14:paraId="31F53E47" w14:textId="77777777" w:rsidTr="00640CEF">
        <w:trPr>
          <w:trHeight w:val="290"/>
        </w:trPr>
        <w:tc>
          <w:tcPr>
            <w:tcW w:w="1443" w:type="dxa"/>
            <w:tcBorders>
              <w:top w:val="single" w:sz="4" w:space="0" w:color="auto"/>
              <w:left w:val="single" w:sz="4" w:space="0" w:color="auto"/>
              <w:bottom w:val="single" w:sz="4" w:space="0" w:color="auto"/>
              <w:right w:val="single" w:sz="4" w:space="0" w:color="auto"/>
            </w:tcBorders>
            <w:shd w:val="solid" w:color="CCCCFF" w:fill="auto"/>
          </w:tcPr>
          <w:p w14:paraId="0D26B22D" w14:textId="37F35C75" w:rsidR="00640CEF" w:rsidRPr="00640CEF" w:rsidRDefault="00640CEF" w:rsidP="00013C43">
            <w:pPr>
              <w:pStyle w:val="TableText"/>
              <w:rPr>
                <w:b/>
                <w:bCs/>
                <w:lang w:eastAsia="en-NZ"/>
              </w:rPr>
            </w:pPr>
            <w:r w:rsidRPr="00640CEF">
              <w:rPr>
                <w:b/>
                <w:bCs/>
                <w:lang w:eastAsia="en-NZ"/>
              </w:rPr>
              <w:t>NBH</w:t>
            </w:r>
            <w:r>
              <w:rPr>
                <w:b/>
                <w:bCs/>
                <w:lang w:eastAsia="en-NZ"/>
              </w:rPr>
              <w:t>-</w:t>
            </w:r>
            <w:r w:rsidRPr="00640CEF">
              <w:rPr>
                <w:b/>
                <w:bCs/>
                <w:lang w:eastAsia="en-NZ"/>
              </w:rPr>
              <w:t>7</w:t>
            </w:r>
          </w:p>
        </w:tc>
        <w:tc>
          <w:tcPr>
            <w:tcW w:w="1134" w:type="dxa"/>
            <w:tcBorders>
              <w:top w:val="single" w:sz="4" w:space="0" w:color="auto"/>
              <w:left w:val="single" w:sz="4" w:space="0" w:color="auto"/>
              <w:bottom w:val="single" w:sz="4" w:space="0" w:color="auto"/>
              <w:right w:val="single" w:sz="4" w:space="0" w:color="auto"/>
            </w:tcBorders>
            <w:shd w:val="solid" w:color="CCCCFF" w:fill="auto"/>
          </w:tcPr>
          <w:p w14:paraId="208E1741" w14:textId="77777777" w:rsidR="00640CEF" w:rsidRPr="00640CEF" w:rsidRDefault="00640CEF" w:rsidP="00013C43">
            <w:pPr>
              <w:pStyle w:val="TableText"/>
              <w:rPr>
                <w:b/>
                <w:bCs/>
                <w:lang w:eastAsia="en-NZ"/>
              </w:rPr>
            </w:pPr>
            <w:r w:rsidRPr="00640CEF">
              <w:rPr>
                <w:b/>
                <w:bCs/>
                <w:lang w:eastAsia="en-NZ"/>
              </w:rPr>
              <w:t>150</w:t>
            </w:r>
          </w:p>
        </w:tc>
        <w:tc>
          <w:tcPr>
            <w:tcW w:w="983" w:type="dxa"/>
            <w:tcBorders>
              <w:top w:val="single" w:sz="4" w:space="0" w:color="auto"/>
              <w:left w:val="single" w:sz="4" w:space="0" w:color="auto"/>
              <w:bottom w:val="single" w:sz="4" w:space="0" w:color="auto"/>
              <w:right w:val="single" w:sz="4" w:space="0" w:color="auto"/>
            </w:tcBorders>
            <w:shd w:val="solid" w:color="CCCCFF" w:fill="auto"/>
          </w:tcPr>
          <w:p w14:paraId="061EE738" w14:textId="77777777" w:rsidR="00640CEF" w:rsidRPr="00640CEF" w:rsidRDefault="00640CEF" w:rsidP="00013C43">
            <w:pPr>
              <w:pStyle w:val="TableText"/>
              <w:rPr>
                <w:b/>
                <w:bCs/>
                <w:lang w:eastAsia="en-NZ"/>
              </w:rPr>
            </w:pPr>
            <w:r w:rsidRPr="00640CEF">
              <w:rPr>
                <w:b/>
                <w:bCs/>
                <w:lang w:eastAsia="en-NZ"/>
              </w:rPr>
              <w:t>206</w:t>
            </w:r>
          </w:p>
        </w:tc>
        <w:tc>
          <w:tcPr>
            <w:tcW w:w="1345" w:type="dxa"/>
            <w:tcBorders>
              <w:top w:val="single" w:sz="4" w:space="0" w:color="auto"/>
              <w:left w:val="single" w:sz="4" w:space="0" w:color="auto"/>
              <w:bottom w:val="single" w:sz="4" w:space="0" w:color="auto"/>
              <w:right w:val="single" w:sz="4" w:space="0" w:color="auto"/>
            </w:tcBorders>
            <w:shd w:val="solid" w:color="CCCCFF" w:fill="auto"/>
          </w:tcPr>
          <w:p w14:paraId="6A98F136" w14:textId="77777777" w:rsidR="00640CEF" w:rsidRPr="00640CEF" w:rsidRDefault="00640CEF" w:rsidP="00013C43">
            <w:pPr>
              <w:pStyle w:val="TableText"/>
              <w:rPr>
                <w:b/>
                <w:bCs/>
                <w:lang w:eastAsia="en-NZ"/>
              </w:rPr>
            </w:pPr>
            <w:r w:rsidRPr="00640CEF">
              <w:rPr>
                <w:b/>
                <w:bCs/>
                <w:lang w:eastAsia="en-NZ"/>
              </w:rPr>
              <w:t>7.1 – 6.3</w:t>
            </w:r>
          </w:p>
        </w:tc>
        <w:tc>
          <w:tcPr>
            <w:tcW w:w="1148" w:type="dxa"/>
            <w:tcBorders>
              <w:top w:val="single" w:sz="4" w:space="0" w:color="auto"/>
              <w:left w:val="single" w:sz="4" w:space="0" w:color="auto"/>
              <w:bottom w:val="single" w:sz="4" w:space="0" w:color="auto"/>
              <w:right w:val="single" w:sz="4" w:space="0" w:color="auto"/>
            </w:tcBorders>
            <w:shd w:val="solid" w:color="CCCCFF" w:fill="auto"/>
          </w:tcPr>
          <w:p w14:paraId="086A825B" w14:textId="77777777" w:rsidR="00640CEF" w:rsidRPr="00640CEF" w:rsidRDefault="00640CEF" w:rsidP="00013C43">
            <w:pPr>
              <w:pStyle w:val="TableText"/>
              <w:rPr>
                <w:b/>
                <w:bCs/>
                <w:lang w:eastAsia="en-NZ"/>
              </w:rPr>
            </w:pPr>
            <w:r w:rsidRPr="00640CEF">
              <w:rPr>
                <w:b/>
                <w:bCs/>
                <w:lang w:eastAsia="en-NZ"/>
              </w:rPr>
              <w:t>62.8</w:t>
            </w:r>
          </w:p>
        </w:tc>
        <w:tc>
          <w:tcPr>
            <w:tcW w:w="1351" w:type="dxa"/>
            <w:tcBorders>
              <w:top w:val="single" w:sz="4" w:space="0" w:color="auto"/>
              <w:left w:val="single" w:sz="4" w:space="0" w:color="auto"/>
              <w:bottom w:val="single" w:sz="4" w:space="0" w:color="auto"/>
              <w:right w:val="single" w:sz="4" w:space="0" w:color="auto"/>
            </w:tcBorders>
            <w:shd w:val="solid" w:color="CCCCFF" w:fill="auto"/>
          </w:tcPr>
          <w:p w14:paraId="79179973" w14:textId="49350E77" w:rsidR="00640CEF" w:rsidRPr="00640CEF" w:rsidRDefault="00640CEF" w:rsidP="00013C43">
            <w:pPr>
              <w:pStyle w:val="TableText"/>
              <w:rPr>
                <w:b/>
                <w:bCs/>
                <w:lang w:eastAsia="en-NZ"/>
              </w:rPr>
            </w:pPr>
            <w:r>
              <w:rPr>
                <w:b/>
                <w:bCs/>
                <w:lang w:eastAsia="en-NZ"/>
              </w:rPr>
              <w:t>1.8</w:t>
            </w:r>
            <w:r w:rsidRPr="00640CEF">
              <w:rPr>
                <w:b/>
                <w:bCs/>
                <w:lang w:eastAsia="en-NZ"/>
              </w:rPr>
              <w:t xml:space="preserve"> </w:t>
            </w:r>
            <w:r>
              <w:rPr>
                <w:b/>
                <w:bCs/>
                <w:lang w:eastAsia="en-NZ"/>
              </w:rPr>
              <w:t>–</w:t>
            </w:r>
            <w:r w:rsidRPr="00640CEF">
              <w:rPr>
                <w:b/>
                <w:bCs/>
                <w:lang w:eastAsia="en-NZ"/>
              </w:rPr>
              <w:t xml:space="preserve"> </w:t>
            </w:r>
            <w:r>
              <w:rPr>
                <w:b/>
                <w:bCs/>
                <w:lang w:eastAsia="en-NZ"/>
              </w:rPr>
              <w:t>1.05</w:t>
            </w:r>
          </w:p>
        </w:tc>
        <w:tc>
          <w:tcPr>
            <w:tcW w:w="1155" w:type="dxa"/>
            <w:tcBorders>
              <w:top w:val="single" w:sz="4" w:space="0" w:color="auto"/>
              <w:left w:val="single" w:sz="4" w:space="0" w:color="auto"/>
              <w:bottom w:val="single" w:sz="4" w:space="0" w:color="auto"/>
              <w:right w:val="single" w:sz="4" w:space="0" w:color="auto"/>
            </w:tcBorders>
            <w:shd w:val="solid" w:color="CCCCFF" w:fill="auto"/>
          </w:tcPr>
          <w:p w14:paraId="1966BA0E" w14:textId="7BD8A689" w:rsidR="00640CEF" w:rsidRPr="00640CEF" w:rsidRDefault="00640CEF" w:rsidP="00013C43">
            <w:pPr>
              <w:pStyle w:val="TableText"/>
              <w:rPr>
                <w:b/>
                <w:bCs/>
                <w:lang w:eastAsia="en-NZ"/>
              </w:rPr>
            </w:pPr>
            <w:r>
              <w:rPr>
                <w:b/>
                <w:bCs/>
                <w:lang w:eastAsia="en-NZ"/>
              </w:rPr>
              <w:t>10.5</w:t>
            </w:r>
          </w:p>
        </w:tc>
        <w:tc>
          <w:tcPr>
            <w:tcW w:w="1307" w:type="dxa"/>
            <w:gridSpan w:val="2"/>
            <w:tcBorders>
              <w:top w:val="single" w:sz="4" w:space="0" w:color="auto"/>
              <w:left w:val="single" w:sz="4" w:space="0" w:color="auto"/>
              <w:bottom w:val="single" w:sz="4" w:space="0" w:color="auto"/>
              <w:right w:val="single" w:sz="4" w:space="0" w:color="auto"/>
            </w:tcBorders>
            <w:shd w:val="solid" w:color="CCCCFF" w:fill="auto"/>
          </w:tcPr>
          <w:p w14:paraId="14FC6682" w14:textId="77777777" w:rsidR="00640CEF" w:rsidRPr="00640CEF" w:rsidRDefault="00640CEF" w:rsidP="00013C43">
            <w:pPr>
              <w:pStyle w:val="TableText"/>
              <w:rPr>
                <w:b/>
                <w:bCs/>
                <w:lang w:eastAsia="en-NZ"/>
              </w:rPr>
            </w:pPr>
            <w:r w:rsidRPr="00640CEF">
              <w:rPr>
                <w:b/>
                <w:bCs/>
                <w:lang w:eastAsia="en-NZ"/>
              </w:rPr>
              <w:t>_</w:t>
            </w:r>
          </w:p>
        </w:tc>
      </w:tr>
      <w:tr w:rsidR="00640CEF" w:rsidRPr="00FF7D58" w14:paraId="1F11E189" w14:textId="77777777" w:rsidTr="00640CEF">
        <w:trPr>
          <w:trHeight w:val="290"/>
        </w:trPr>
        <w:tc>
          <w:tcPr>
            <w:tcW w:w="1443" w:type="dxa"/>
            <w:tcBorders>
              <w:top w:val="single" w:sz="4" w:space="0" w:color="auto"/>
              <w:left w:val="single" w:sz="4" w:space="0" w:color="auto"/>
              <w:bottom w:val="single" w:sz="4" w:space="0" w:color="auto"/>
              <w:right w:val="single" w:sz="4" w:space="0" w:color="auto"/>
            </w:tcBorders>
            <w:shd w:val="solid" w:color="CCCCFF" w:fill="auto"/>
          </w:tcPr>
          <w:p w14:paraId="2862F459" w14:textId="65EADE70" w:rsidR="00640CEF" w:rsidRPr="00640CEF" w:rsidRDefault="00640CEF" w:rsidP="00013C43">
            <w:pPr>
              <w:pStyle w:val="TableText"/>
              <w:rPr>
                <w:b/>
                <w:bCs/>
                <w:lang w:eastAsia="en-NZ"/>
              </w:rPr>
            </w:pPr>
            <w:r w:rsidRPr="00640CEF">
              <w:rPr>
                <w:b/>
                <w:bCs/>
                <w:lang w:eastAsia="en-NZ"/>
              </w:rPr>
              <w:t>NBH</w:t>
            </w:r>
            <w:r>
              <w:rPr>
                <w:b/>
                <w:bCs/>
                <w:lang w:eastAsia="en-NZ"/>
              </w:rPr>
              <w:t>-</w:t>
            </w:r>
            <w:r w:rsidRPr="00640CEF">
              <w:rPr>
                <w:b/>
                <w:bCs/>
                <w:lang w:eastAsia="en-NZ"/>
              </w:rPr>
              <w:t>7</w:t>
            </w:r>
            <w:r>
              <w:rPr>
                <w:b/>
                <w:bCs/>
                <w:lang w:eastAsia="en-NZ"/>
              </w:rPr>
              <w:t>(OBS)</w:t>
            </w:r>
          </w:p>
        </w:tc>
        <w:tc>
          <w:tcPr>
            <w:tcW w:w="1134" w:type="dxa"/>
            <w:tcBorders>
              <w:top w:val="single" w:sz="4" w:space="0" w:color="auto"/>
              <w:left w:val="single" w:sz="4" w:space="0" w:color="auto"/>
              <w:bottom w:val="single" w:sz="4" w:space="0" w:color="auto"/>
              <w:right w:val="single" w:sz="4" w:space="0" w:color="auto"/>
            </w:tcBorders>
            <w:shd w:val="solid" w:color="CCCCFF" w:fill="auto"/>
          </w:tcPr>
          <w:p w14:paraId="7744C9E7" w14:textId="77777777" w:rsidR="00640CEF" w:rsidRPr="00640CEF" w:rsidRDefault="00640CEF" w:rsidP="00013C43">
            <w:pPr>
              <w:pStyle w:val="TableText"/>
              <w:rPr>
                <w:b/>
                <w:bCs/>
                <w:lang w:eastAsia="en-NZ"/>
              </w:rPr>
            </w:pPr>
            <w:r w:rsidRPr="00640CEF">
              <w:rPr>
                <w:b/>
                <w:bCs/>
                <w:lang w:eastAsia="en-NZ"/>
              </w:rPr>
              <w:t>-------------</w:t>
            </w:r>
          </w:p>
        </w:tc>
        <w:tc>
          <w:tcPr>
            <w:tcW w:w="983" w:type="dxa"/>
            <w:tcBorders>
              <w:top w:val="single" w:sz="4" w:space="0" w:color="auto"/>
              <w:left w:val="single" w:sz="4" w:space="0" w:color="auto"/>
              <w:bottom w:val="single" w:sz="4" w:space="0" w:color="auto"/>
              <w:right w:val="single" w:sz="4" w:space="0" w:color="auto"/>
            </w:tcBorders>
            <w:shd w:val="solid" w:color="CCCCFF" w:fill="auto"/>
          </w:tcPr>
          <w:p w14:paraId="25029F60" w14:textId="77777777" w:rsidR="00640CEF" w:rsidRPr="00640CEF" w:rsidRDefault="00640CEF" w:rsidP="00013C43">
            <w:pPr>
              <w:pStyle w:val="TableText"/>
              <w:rPr>
                <w:b/>
                <w:bCs/>
                <w:lang w:eastAsia="en-NZ"/>
              </w:rPr>
            </w:pPr>
            <w:r w:rsidRPr="00640CEF">
              <w:rPr>
                <w:b/>
                <w:bCs/>
                <w:lang w:eastAsia="en-NZ"/>
              </w:rPr>
              <w:t>---------</w:t>
            </w:r>
          </w:p>
        </w:tc>
        <w:tc>
          <w:tcPr>
            <w:tcW w:w="1345" w:type="dxa"/>
            <w:tcBorders>
              <w:top w:val="single" w:sz="4" w:space="0" w:color="auto"/>
              <w:left w:val="single" w:sz="4" w:space="0" w:color="auto"/>
              <w:bottom w:val="single" w:sz="4" w:space="0" w:color="auto"/>
              <w:right w:val="single" w:sz="4" w:space="0" w:color="auto"/>
            </w:tcBorders>
            <w:shd w:val="solid" w:color="CCCCFF" w:fill="auto"/>
          </w:tcPr>
          <w:p w14:paraId="70A8F479" w14:textId="77777777" w:rsidR="00640CEF" w:rsidRPr="00640CEF" w:rsidRDefault="00640CEF" w:rsidP="00013C43">
            <w:pPr>
              <w:pStyle w:val="TableText"/>
              <w:rPr>
                <w:b/>
                <w:bCs/>
                <w:lang w:eastAsia="en-NZ"/>
              </w:rPr>
            </w:pPr>
            <w:r w:rsidRPr="00640CEF">
              <w:rPr>
                <w:b/>
                <w:bCs/>
                <w:lang w:eastAsia="en-NZ"/>
              </w:rPr>
              <w:t>_</w:t>
            </w:r>
          </w:p>
        </w:tc>
        <w:tc>
          <w:tcPr>
            <w:tcW w:w="1148" w:type="dxa"/>
            <w:tcBorders>
              <w:top w:val="single" w:sz="4" w:space="0" w:color="auto"/>
              <w:left w:val="single" w:sz="4" w:space="0" w:color="auto"/>
              <w:bottom w:val="single" w:sz="4" w:space="0" w:color="auto"/>
              <w:right w:val="single" w:sz="4" w:space="0" w:color="auto"/>
            </w:tcBorders>
            <w:shd w:val="solid" w:color="CCCCFF" w:fill="auto"/>
          </w:tcPr>
          <w:p w14:paraId="1CB7B48E" w14:textId="77777777" w:rsidR="00640CEF" w:rsidRPr="00640CEF" w:rsidRDefault="00640CEF" w:rsidP="00013C43">
            <w:pPr>
              <w:pStyle w:val="TableText"/>
              <w:rPr>
                <w:b/>
                <w:bCs/>
                <w:lang w:eastAsia="en-NZ"/>
              </w:rPr>
            </w:pPr>
            <w:r w:rsidRPr="00640CEF">
              <w:rPr>
                <w:b/>
                <w:bCs/>
                <w:lang w:eastAsia="en-NZ"/>
              </w:rPr>
              <w:t>337</w:t>
            </w:r>
          </w:p>
        </w:tc>
        <w:tc>
          <w:tcPr>
            <w:tcW w:w="1351" w:type="dxa"/>
            <w:tcBorders>
              <w:top w:val="single" w:sz="4" w:space="0" w:color="auto"/>
              <w:left w:val="single" w:sz="4" w:space="0" w:color="auto"/>
              <w:bottom w:val="single" w:sz="4" w:space="0" w:color="auto"/>
              <w:right w:val="single" w:sz="4" w:space="0" w:color="auto"/>
            </w:tcBorders>
            <w:shd w:val="solid" w:color="CCCCFF" w:fill="auto"/>
          </w:tcPr>
          <w:p w14:paraId="4E9662F5" w14:textId="77777777" w:rsidR="00640CEF" w:rsidRPr="00640CEF" w:rsidRDefault="00640CEF" w:rsidP="00013C43">
            <w:pPr>
              <w:pStyle w:val="TableText"/>
              <w:rPr>
                <w:b/>
                <w:bCs/>
                <w:lang w:eastAsia="en-NZ"/>
              </w:rPr>
            </w:pPr>
            <w:r w:rsidRPr="00640CEF">
              <w:rPr>
                <w:b/>
                <w:bCs/>
                <w:lang w:eastAsia="en-NZ"/>
              </w:rPr>
              <w:t>_</w:t>
            </w:r>
          </w:p>
        </w:tc>
        <w:tc>
          <w:tcPr>
            <w:tcW w:w="1155" w:type="dxa"/>
            <w:tcBorders>
              <w:top w:val="single" w:sz="4" w:space="0" w:color="auto"/>
              <w:left w:val="single" w:sz="4" w:space="0" w:color="auto"/>
              <w:bottom w:val="single" w:sz="4" w:space="0" w:color="auto"/>
              <w:right w:val="single" w:sz="4" w:space="0" w:color="auto"/>
            </w:tcBorders>
            <w:shd w:val="solid" w:color="CCCCFF" w:fill="auto"/>
          </w:tcPr>
          <w:p w14:paraId="7A5F33C2" w14:textId="59762134" w:rsidR="00640CEF" w:rsidRPr="00640CEF" w:rsidRDefault="00640CEF" w:rsidP="00013C43">
            <w:pPr>
              <w:pStyle w:val="TableText"/>
              <w:rPr>
                <w:b/>
                <w:bCs/>
                <w:lang w:eastAsia="en-NZ"/>
              </w:rPr>
            </w:pPr>
            <w:r>
              <w:rPr>
                <w:b/>
                <w:bCs/>
                <w:lang w:eastAsia="en-NZ"/>
              </w:rPr>
              <w:t>56.1</w:t>
            </w:r>
          </w:p>
        </w:tc>
        <w:tc>
          <w:tcPr>
            <w:tcW w:w="1307" w:type="dxa"/>
            <w:gridSpan w:val="2"/>
            <w:tcBorders>
              <w:top w:val="single" w:sz="4" w:space="0" w:color="auto"/>
              <w:left w:val="single" w:sz="4" w:space="0" w:color="auto"/>
              <w:bottom w:val="single" w:sz="4" w:space="0" w:color="auto"/>
              <w:right w:val="single" w:sz="4" w:space="0" w:color="auto"/>
            </w:tcBorders>
            <w:shd w:val="solid" w:color="CCCCFF" w:fill="auto"/>
          </w:tcPr>
          <w:p w14:paraId="315182C1" w14:textId="493BCC4A" w:rsidR="00640CEF" w:rsidRPr="00640CEF" w:rsidRDefault="00640CEF" w:rsidP="00013C43">
            <w:pPr>
              <w:pStyle w:val="TableText"/>
              <w:rPr>
                <w:b/>
                <w:bCs/>
                <w:lang w:eastAsia="en-NZ"/>
              </w:rPr>
            </w:pPr>
            <w:r>
              <w:rPr>
                <w:b/>
                <w:bCs/>
                <w:lang w:eastAsia="en-NZ"/>
              </w:rPr>
              <w:t>2.4 x 10</w:t>
            </w:r>
            <w:r w:rsidRPr="00640CEF">
              <w:rPr>
                <w:b/>
                <w:bCs/>
                <w:vertAlign w:val="superscript"/>
                <w:lang w:eastAsia="en-NZ"/>
              </w:rPr>
              <w:t>-4</w:t>
            </w:r>
          </w:p>
        </w:tc>
      </w:tr>
    </w:tbl>
    <w:p w14:paraId="466282E5" w14:textId="77777777" w:rsidR="00640CEF" w:rsidRPr="00640CEF" w:rsidRDefault="00640CEF">
      <w:pPr>
        <w:spacing w:before="0" w:after="160" w:line="259" w:lineRule="auto"/>
        <w:jc w:val="left"/>
        <w:rPr>
          <w:sz w:val="18"/>
          <w:szCs w:val="18"/>
        </w:rPr>
      </w:pPr>
      <w:r w:rsidRPr="00640CEF">
        <w:rPr>
          <w:sz w:val="18"/>
          <w:szCs w:val="18"/>
        </w:rPr>
        <w:t>Note: Saturated thickness is assumed to be coincident with the length of the test bore screen.</w:t>
      </w:r>
    </w:p>
    <w:p w14:paraId="10E8CACA" w14:textId="77777777" w:rsidR="00D824C7" w:rsidRDefault="006D3C60">
      <w:pPr>
        <w:spacing w:before="0" w:after="160" w:line="259" w:lineRule="auto"/>
        <w:jc w:val="left"/>
      </w:pPr>
      <w:r>
        <w:t>Using the screen length as the estimate of saturated thickness is reasonable in the case of a terrestrial, clast imbricated alluvium that is expected to have significant vertical anisotropy. Consequently the observed recovery (residual drawdown) data at a radius of 15.2 m that derived a transmissivity estimate of 337 m</w:t>
      </w:r>
      <w:r w:rsidRPr="006D3C60">
        <w:rPr>
          <w:vertAlign w:val="superscript"/>
        </w:rPr>
        <w:t>2</w:t>
      </w:r>
      <w:r>
        <w:t>/d and implied a mean hydraulic conductivity of 56 m/d.</w:t>
      </w:r>
    </w:p>
    <w:p w14:paraId="369EE348" w14:textId="75BDAB72" w:rsidR="00D824C7" w:rsidRDefault="00D824C7">
      <w:pPr>
        <w:spacing w:before="0" w:after="160" w:line="259" w:lineRule="auto"/>
        <w:jc w:val="left"/>
      </w:pPr>
      <w:r>
        <w:t>Currently the last paragraph of section 2.6.7.2 reads as follows:</w:t>
      </w:r>
    </w:p>
    <w:p w14:paraId="79774D49" w14:textId="77777777" w:rsidR="00D824C7" w:rsidRDefault="00D824C7">
      <w:pPr>
        <w:spacing w:before="0" w:after="160" w:line="259" w:lineRule="auto"/>
        <w:jc w:val="left"/>
      </w:pPr>
      <w:r>
        <w:t>“</w:t>
      </w:r>
      <w:r w:rsidRPr="001E7B68">
        <w:rPr>
          <w:i/>
          <w:iCs/>
        </w:rPr>
        <w:t>The through flow and velocity estimates indicates relatively slow groundwater transmission rates. Whereas the surface water drainages carried water at rates approximating 100 L/s and higher with mean open water velocities in range of 0.05 to 0.20 metres per second (m/s), the various estimated groundwater transmission rates from east to west across the Cowan Block were estimated to be in the order of 10 L/s and 80 m/year. This is a strong contrast in hydrological capacity, which suggests that the groundwater system beneath the Coates Block plays a significantly lesser role in effective land drainage.</w:t>
      </w:r>
      <w:r>
        <w:t>”</w:t>
      </w:r>
    </w:p>
    <w:p w14:paraId="6BA69EBE" w14:textId="524A8B75" w:rsidR="00283B7C" w:rsidRDefault="00EC2A70" w:rsidP="00291192">
      <w:pPr>
        <w:spacing w:before="0" w:after="160" w:line="259" w:lineRule="auto"/>
        <w:jc w:val="left"/>
      </w:pPr>
      <w:r>
        <w:t>The hydraulic gradient is taken from the gradient measured in 1990 between bores NB-7 and WS3200D installed along Burke Road into the basal gravels. U</w:t>
      </w:r>
      <w:r w:rsidR="00283B7C">
        <w:t>sing this default approach the addition of the basal gravel layer throughflow results in the combined throughflow to increase as follows –</w:t>
      </w:r>
    </w:p>
    <w:p w14:paraId="7A06AA40" w14:textId="73E25DF1" w:rsidR="00291192" w:rsidRPr="00283B7C" w:rsidRDefault="00291192" w:rsidP="00291192">
      <w:pPr>
        <w:pStyle w:val="Caption"/>
      </w:pPr>
      <w:r>
        <w:lastRenderedPageBreak/>
        <w:t xml:space="preserve">Table </w:t>
      </w:r>
      <w:fldSimple w:instr=" SEQ Table \* ARABIC ">
        <w:r>
          <w:rPr>
            <w:noProof/>
          </w:rPr>
          <w:t>2</w:t>
        </w:r>
      </w:fldSimple>
      <w:r>
        <w:t>: Combined Throughflow Rate Calculation, adding Basal Gravel Layer</w:t>
      </w:r>
    </w:p>
    <w:tbl>
      <w:tblPr>
        <w:tblStyle w:val="TableGrid"/>
        <w:tblW w:w="0" w:type="auto"/>
        <w:tblLook w:val="04A0" w:firstRow="1" w:lastRow="0" w:firstColumn="1" w:lastColumn="0" w:noHBand="0" w:noVBand="1"/>
      </w:tblPr>
      <w:tblGrid>
        <w:gridCol w:w="4508"/>
        <w:gridCol w:w="4508"/>
      </w:tblGrid>
      <w:tr w:rsidR="00283B7C" w14:paraId="67CB4398" w14:textId="77777777" w:rsidTr="00291192">
        <w:tc>
          <w:tcPr>
            <w:tcW w:w="4508" w:type="dxa"/>
            <w:vAlign w:val="bottom"/>
          </w:tcPr>
          <w:p w14:paraId="2758E299" w14:textId="14F80C4B" w:rsidR="00283B7C" w:rsidRDefault="00291192">
            <w:pPr>
              <w:spacing w:before="0" w:after="160" w:line="259" w:lineRule="auto"/>
              <w:jc w:val="left"/>
            </w:pPr>
            <w:r>
              <w:t>Throughflow Calculation Layer</w:t>
            </w:r>
          </w:p>
        </w:tc>
        <w:tc>
          <w:tcPr>
            <w:tcW w:w="4508" w:type="dxa"/>
            <w:vAlign w:val="bottom"/>
          </w:tcPr>
          <w:p w14:paraId="17F9DE21" w14:textId="74468A49" w:rsidR="00283B7C" w:rsidRDefault="00291192">
            <w:pPr>
              <w:spacing w:before="0" w:after="160" w:line="259" w:lineRule="auto"/>
              <w:jc w:val="left"/>
            </w:pPr>
            <w:r>
              <w:t>Throughflow Rate [m</w:t>
            </w:r>
            <w:r w:rsidRPr="00291192">
              <w:rPr>
                <w:vertAlign w:val="superscript"/>
              </w:rPr>
              <w:t>3</w:t>
            </w:r>
            <w:r>
              <w:t>/d (or L/s)]</w:t>
            </w:r>
          </w:p>
        </w:tc>
      </w:tr>
      <w:tr w:rsidR="00283B7C" w14:paraId="1CE2C7A3" w14:textId="77777777" w:rsidTr="00291192">
        <w:tc>
          <w:tcPr>
            <w:tcW w:w="4508" w:type="dxa"/>
            <w:vAlign w:val="bottom"/>
          </w:tcPr>
          <w:p w14:paraId="7BED137A" w14:textId="28FACD4A" w:rsidR="00283B7C" w:rsidRDefault="00283B7C">
            <w:pPr>
              <w:spacing w:before="0" w:after="160" w:line="259" w:lineRule="auto"/>
              <w:jc w:val="left"/>
            </w:pPr>
            <w:r w:rsidRPr="007B0F40">
              <w:rPr>
                <w:b/>
                <w:bCs/>
              </w:rPr>
              <w:t xml:space="preserve">Top </w:t>
            </w:r>
            <w:r>
              <w:rPr>
                <w:b/>
                <w:bCs/>
              </w:rPr>
              <w:t xml:space="preserve">10 m to </w:t>
            </w:r>
            <w:r w:rsidRPr="007B0F40">
              <w:rPr>
                <w:b/>
                <w:bCs/>
              </w:rPr>
              <w:t>15 m Depth of Sediments</w:t>
            </w:r>
            <w:r>
              <w:rPr>
                <w:b/>
                <w:bCs/>
              </w:rPr>
              <w:t xml:space="preserve"> Throughflow</w:t>
            </w:r>
          </w:p>
        </w:tc>
        <w:tc>
          <w:tcPr>
            <w:tcW w:w="4508" w:type="dxa"/>
            <w:vAlign w:val="bottom"/>
          </w:tcPr>
          <w:p w14:paraId="511139C9" w14:textId="746A4EF6" w:rsidR="00283B7C" w:rsidRDefault="00283B7C" w:rsidP="00283B7C">
            <w:r>
              <w:t>607 m</w:t>
            </w:r>
            <w:r w:rsidRPr="00CE75F0">
              <w:rPr>
                <w:vertAlign w:val="superscript"/>
              </w:rPr>
              <w:t>3</w:t>
            </w:r>
            <w:r>
              <w:t>/d (or 7 L/s)</w:t>
            </w:r>
          </w:p>
        </w:tc>
      </w:tr>
      <w:tr w:rsidR="00283B7C" w14:paraId="094E46A7" w14:textId="77777777" w:rsidTr="00291192">
        <w:tc>
          <w:tcPr>
            <w:tcW w:w="4508" w:type="dxa"/>
            <w:vAlign w:val="bottom"/>
          </w:tcPr>
          <w:p w14:paraId="4311761B" w14:textId="7656C5E0" w:rsidR="00283B7C" w:rsidRDefault="00283B7C">
            <w:pPr>
              <w:spacing w:before="0" w:after="160" w:line="259" w:lineRule="auto"/>
              <w:jc w:val="left"/>
            </w:pPr>
            <w:r>
              <w:rPr>
                <w:b/>
                <w:bCs/>
              </w:rPr>
              <w:t>Basal Gravel (model Layer 2) Throughflow</w:t>
            </w:r>
          </w:p>
        </w:tc>
        <w:tc>
          <w:tcPr>
            <w:tcW w:w="4508" w:type="dxa"/>
            <w:vAlign w:val="bottom"/>
          </w:tcPr>
          <w:p w14:paraId="0FECC500" w14:textId="4F1FCBF7" w:rsidR="00283B7C" w:rsidRDefault="00EC2A70">
            <w:pPr>
              <w:spacing w:before="0" w:after="160" w:line="259" w:lineRule="auto"/>
              <w:jc w:val="left"/>
            </w:pPr>
            <w:r>
              <w:t>1,344</w:t>
            </w:r>
            <w:r w:rsidR="00283B7C">
              <w:t xml:space="preserve"> m</w:t>
            </w:r>
            <w:r w:rsidR="00283B7C" w:rsidRPr="00CE75F0">
              <w:rPr>
                <w:vertAlign w:val="superscript"/>
              </w:rPr>
              <w:t>3</w:t>
            </w:r>
            <w:r w:rsidR="00283B7C">
              <w:t xml:space="preserve">/d (or </w:t>
            </w:r>
            <w:r>
              <w:t>15</w:t>
            </w:r>
            <w:r w:rsidR="00283B7C">
              <w:t>.5 L/s)</w:t>
            </w:r>
          </w:p>
        </w:tc>
      </w:tr>
      <w:tr w:rsidR="00283B7C" w14:paraId="48637D8B" w14:textId="77777777" w:rsidTr="00291192">
        <w:tc>
          <w:tcPr>
            <w:tcW w:w="4508" w:type="dxa"/>
            <w:vAlign w:val="bottom"/>
          </w:tcPr>
          <w:p w14:paraId="65586D91" w14:textId="5E9C438F" w:rsidR="00283B7C" w:rsidRDefault="00283B7C">
            <w:pPr>
              <w:spacing w:before="0" w:after="160" w:line="259" w:lineRule="auto"/>
              <w:jc w:val="left"/>
              <w:rPr>
                <w:b/>
                <w:bCs/>
              </w:rPr>
            </w:pPr>
            <w:r>
              <w:rPr>
                <w:b/>
                <w:bCs/>
              </w:rPr>
              <w:t>Combined Throughflow</w:t>
            </w:r>
          </w:p>
        </w:tc>
        <w:tc>
          <w:tcPr>
            <w:tcW w:w="4508" w:type="dxa"/>
            <w:vAlign w:val="bottom"/>
          </w:tcPr>
          <w:p w14:paraId="0C7039BB" w14:textId="026AE6A2" w:rsidR="00283B7C" w:rsidRDefault="00EC2A70">
            <w:pPr>
              <w:spacing w:before="0" w:after="160" w:line="259" w:lineRule="auto"/>
              <w:jc w:val="left"/>
            </w:pPr>
            <w:r>
              <w:t>1951</w:t>
            </w:r>
            <w:r w:rsidR="00283B7C">
              <w:t xml:space="preserve"> m</w:t>
            </w:r>
            <w:r w:rsidR="00283B7C" w:rsidRPr="00291192">
              <w:rPr>
                <w:vertAlign w:val="superscript"/>
              </w:rPr>
              <w:t>3</w:t>
            </w:r>
            <w:r w:rsidR="00283B7C">
              <w:t xml:space="preserve">/d (or </w:t>
            </w:r>
            <w:r>
              <w:t>22</w:t>
            </w:r>
            <w:r w:rsidR="00291192">
              <w:t>.6 L/s)</w:t>
            </w:r>
          </w:p>
        </w:tc>
      </w:tr>
    </w:tbl>
    <w:p w14:paraId="61A050A7" w14:textId="77777777" w:rsidR="007F2E0D" w:rsidRDefault="007F2E0D">
      <w:pPr>
        <w:spacing w:before="0" w:after="160" w:line="259" w:lineRule="auto"/>
        <w:jc w:val="left"/>
      </w:pPr>
    </w:p>
    <w:p w14:paraId="11F92443" w14:textId="576DE76D" w:rsidR="001E7B68" w:rsidRDefault="001E7B68">
      <w:pPr>
        <w:spacing w:before="0" w:after="160" w:line="259" w:lineRule="auto"/>
        <w:jc w:val="left"/>
      </w:pPr>
      <w:r>
        <w:t>The sole substantive alteration to the current summary of throughflow and flow velocity (last paragraph of section 2.6.7.2) is that the order of throughflow should be 20 L/s compared to 10 L/s. The observations as to the difference between surface water and groundwater drainage rates should still hold.</w:t>
      </w:r>
    </w:p>
    <w:p w14:paraId="21F1CE5E" w14:textId="26678377" w:rsidR="007F2E0D" w:rsidRDefault="007F2E0D">
      <w:pPr>
        <w:spacing w:before="0" w:after="160" w:line="259" w:lineRule="auto"/>
        <w:jc w:val="left"/>
      </w:pPr>
      <w:r>
        <w:t>The geographic scope of the combined throughflow calculation</w:t>
      </w:r>
      <w:r w:rsidR="00B1341F">
        <w:t xml:space="preserve"> is mapped in the revised Figure 32 below. The flow path along which the throughflow calculations are based is marked as the broken line starting at the “Proposed Access Road”, passing through the core of the Cowan Block to the coastal lagoon (groundwater elevations of 12.5 m to 1.82 m AMSL). The flow front width through the Cowan Block was estimated at 800 m across.</w:t>
      </w:r>
    </w:p>
    <w:p w14:paraId="764CF98E" w14:textId="77777777" w:rsidR="007F2E0D" w:rsidRDefault="007F2E0D">
      <w:pPr>
        <w:spacing w:before="0" w:after="160" w:line="259" w:lineRule="auto"/>
        <w:jc w:val="left"/>
      </w:pPr>
      <w:r w:rsidRPr="007F2E0D">
        <w:rPr>
          <w:noProof/>
        </w:rPr>
        <w:drawing>
          <wp:inline distT="0" distB="0" distL="0" distR="0" wp14:anchorId="30E2060B" wp14:editId="7F857C21">
            <wp:extent cx="5731510" cy="4177030"/>
            <wp:effectExtent l="0" t="0" r="2540" b="0"/>
            <wp:docPr id="18053026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31510" cy="4177030"/>
                    </a:xfrm>
                    <a:prstGeom prst="rect">
                      <a:avLst/>
                    </a:prstGeom>
                    <a:noFill/>
                    <a:ln>
                      <a:noFill/>
                    </a:ln>
                  </pic:spPr>
                </pic:pic>
              </a:graphicData>
            </a:graphic>
          </wp:inline>
        </w:drawing>
      </w:r>
    </w:p>
    <w:p w14:paraId="0B6777F5" w14:textId="6F17E5E9" w:rsidR="007F2E0D" w:rsidRDefault="007F2E0D">
      <w:pPr>
        <w:spacing w:before="0" w:after="160" w:line="259" w:lineRule="auto"/>
        <w:jc w:val="left"/>
        <w:rPr>
          <w:b/>
          <w:bCs/>
        </w:rPr>
      </w:pPr>
      <w:r>
        <w:rPr>
          <w:b/>
          <w:bCs/>
        </w:rPr>
        <w:t xml:space="preserve">Figure 32: </w:t>
      </w:r>
      <w:r w:rsidRPr="007F2E0D">
        <w:rPr>
          <w:b/>
          <w:bCs/>
        </w:rPr>
        <w:t>Groundwater level contours drawn from groundwater elevations mapped across the Cowan Block</w:t>
      </w:r>
    </w:p>
    <w:p w14:paraId="51CEBE06" w14:textId="4BF9EF3D" w:rsidR="007F2E0D" w:rsidRPr="007F2E0D" w:rsidRDefault="007F2E0D">
      <w:pPr>
        <w:spacing w:before="0" w:after="160" w:line="259" w:lineRule="auto"/>
        <w:jc w:val="left"/>
        <w:rPr>
          <w:b/>
          <w:bCs/>
        </w:rPr>
      </w:pPr>
      <w:r>
        <w:rPr>
          <w:b/>
          <w:bCs/>
        </w:rPr>
        <w:t>(</w:t>
      </w:r>
      <w:r w:rsidR="001E7B68">
        <w:rPr>
          <w:b/>
          <w:bCs/>
        </w:rPr>
        <w:t>Revis</w:t>
      </w:r>
      <w:r>
        <w:rPr>
          <w:b/>
          <w:bCs/>
        </w:rPr>
        <w:t>ed and reviewed re</w:t>
      </w:r>
      <w:r w:rsidR="001E7B68">
        <w:rPr>
          <w:b/>
          <w:bCs/>
        </w:rPr>
        <w:t>-</w:t>
      </w:r>
      <w:r>
        <w:rPr>
          <w:b/>
          <w:bCs/>
        </w:rPr>
        <w:t>issue of Figure 32)</w:t>
      </w:r>
    </w:p>
    <w:p w14:paraId="79D1CBB5" w14:textId="77777777" w:rsidR="0033500D" w:rsidRDefault="0033500D">
      <w:pPr>
        <w:spacing w:before="0" w:after="160" w:line="259" w:lineRule="auto"/>
        <w:jc w:val="left"/>
      </w:pPr>
    </w:p>
    <w:p w14:paraId="0242754E" w14:textId="77777777" w:rsidR="002446E0" w:rsidRDefault="002446E0">
      <w:pPr>
        <w:spacing w:before="0" w:after="160" w:line="259" w:lineRule="auto"/>
        <w:jc w:val="left"/>
        <w:rPr>
          <w:b/>
          <w:bCs/>
        </w:rPr>
      </w:pPr>
    </w:p>
    <w:p w14:paraId="31464863" w14:textId="77777777" w:rsidR="002446E0" w:rsidRDefault="002446E0">
      <w:pPr>
        <w:spacing w:before="0" w:after="160" w:line="259" w:lineRule="auto"/>
        <w:jc w:val="left"/>
        <w:rPr>
          <w:b/>
          <w:bCs/>
        </w:rPr>
      </w:pPr>
    </w:p>
    <w:p w14:paraId="1723FA65" w14:textId="4A9AD766" w:rsidR="0033500D" w:rsidRDefault="0033500D">
      <w:pPr>
        <w:spacing w:before="0" w:after="160" w:line="259" w:lineRule="auto"/>
        <w:jc w:val="left"/>
      </w:pPr>
      <w:r>
        <w:rPr>
          <w:b/>
          <w:bCs/>
        </w:rPr>
        <w:lastRenderedPageBreak/>
        <w:t>Basis for estimating the thickness of Basal Gravels and depth of Blue Bottom Formation</w:t>
      </w:r>
    </w:p>
    <w:p w14:paraId="264D63B8" w14:textId="4D746F1E" w:rsidR="0033500D" w:rsidRDefault="0033500D">
      <w:pPr>
        <w:spacing w:before="0" w:after="160" w:line="259" w:lineRule="auto"/>
        <w:jc w:val="left"/>
      </w:pPr>
      <w:r>
        <w:t>In relation to WGANZ Request For Information (RFI) number 4.1</w:t>
      </w:r>
      <w:r w:rsidR="005621CB">
        <w:t>4</w:t>
      </w:r>
    </w:p>
    <w:p w14:paraId="17B592D6" w14:textId="77777777" w:rsidR="0033500D" w:rsidRDefault="0033500D">
      <w:pPr>
        <w:spacing w:before="0" w:after="160" w:line="259" w:lineRule="auto"/>
        <w:jc w:val="left"/>
        <w:rPr>
          <w:rFonts w:ascii="Calibri" w:hAnsi="Calibri" w:cs="Calibri"/>
          <w:color w:val="222222"/>
          <w:shd w:val="clear" w:color="auto" w:fill="FFFFFF"/>
        </w:rPr>
      </w:pPr>
      <w:r>
        <w:t>“</w:t>
      </w:r>
      <w:r w:rsidRPr="0033500D">
        <w:rPr>
          <w:rFonts w:ascii="Calibri" w:hAnsi="Calibri" w:cs="Calibri"/>
          <w:i/>
          <w:iCs/>
          <w:color w:val="222222"/>
          <w:shd w:val="clear" w:color="auto" w:fill="FFFFFF"/>
        </w:rPr>
        <w:t>Please provide an indication of the thickness of the basal gravel unit underlying the mineral sands. Please also advise what underlies the gravel unit and at what depth the Blue Bottom Formation may be found beneath the site</w:t>
      </w:r>
      <w:r>
        <w:rPr>
          <w:rFonts w:ascii="Calibri" w:hAnsi="Calibri" w:cs="Calibri"/>
          <w:color w:val="222222"/>
          <w:shd w:val="clear" w:color="auto" w:fill="FFFFFF"/>
        </w:rPr>
        <w:t>.”</w:t>
      </w:r>
    </w:p>
    <w:p w14:paraId="7CDD2DA0" w14:textId="305C509E" w:rsidR="007400C2" w:rsidRDefault="0033500D">
      <w:pPr>
        <w:spacing w:before="0" w:after="160" w:line="259" w:lineRule="auto"/>
        <w:jc w:val="left"/>
        <w:rPr>
          <w:rFonts w:ascii="Calibri" w:hAnsi="Calibri" w:cs="Calibri"/>
          <w:color w:val="222222"/>
          <w:shd w:val="clear" w:color="auto" w:fill="FFFFFF"/>
        </w:rPr>
      </w:pPr>
      <w:r>
        <w:rPr>
          <w:rFonts w:ascii="Calibri" w:hAnsi="Calibri" w:cs="Calibri"/>
          <w:color w:val="222222"/>
          <w:shd w:val="clear" w:color="auto" w:fill="FFFFFF"/>
        </w:rPr>
        <w:t>No drilling investigation</w:t>
      </w:r>
      <w:r w:rsidR="005621CB">
        <w:rPr>
          <w:rFonts w:ascii="Calibri" w:hAnsi="Calibri" w:cs="Calibri"/>
          <w:color w:val="222222"/>
          <w:shd w:val="clear" w:color="auto" w:fill="FFFFFF"/>
        </w:rPr>
        <w:t>s</w:t>
      </w:r>
      <w:r>
        <w:rPr>
          <w:rFonts w:ascii="Calibri" w:hAnsi="Calibri" w:cs="Calibri"/>
          <w:color w:val="222222"/>
          <w:shd w:val="clear" w:color="auto" w:fill="FFFFFF"/>
        </w:rPr>
        <w:t xml:space="preserve"> beyond a couple of metres below the mineral sand – basal gravel contact </w:t>
      </w:r>
      <w:proofErr w:type="gramStart"/>
      <w:r>
        <w:rPr>
          <w:rFonts w:ascii="Calibri" w:hAnsi="Calibri" w:cs="Calibri"/>
          <w:color w:val="222222"/>
          <w:shd w:val="clear" w:color="auto" w:fill="FFFFFF"/>
        </w:rPr>
        <w:t>were</w:t>
      </w:r>
      <w:proofErr w:type="gramEnd"/>
      <w:r>
        <w:rPr>
          <w:rFonts w:ascii="Calibri" w:hAnsi="Calibri" w:cs="Calibri"/>
          <w:color w:val="222222"/>
          <w:shd w:val="clear" w:color="auto" w:fill="FFFFFF"/>
        </w:rPr>
        <w:t xml:space="preserve"> pursued </w:t>
      </w:r>
      <w:r w:rsidR="005621CB">
        <w:rPr>
          <w:rFonts w:ascii="Calibri" w:hAnsi="Calibri" w:cs="Calibri"/>
          <w:color w:val="222222"/>
          <w:shd w:val="clear" w:color="auto" w:fill="FFFFFF"/>
        </w:rPr>
        <w:t xml:space="preserve">to establish the depth and base of the basal gravels </w:t>
      </w:r>
      <w:r>
        <w:rPr>
          <w:rFonts w:ascii="Calibri" w:hAnsi="Calibri" w:cs="Calibri"/>
          <w:color w:val="222222"/>
          <w:shd w:val="clear" w:color="auto" w:fill="FFFFFF"/>
        </w:rPr>
        <w:t xml:space="preserve">within the Cowan Block. However, </w:t>
      </w:r>
      <w:r w:rsidR="005621CB">
        <w:rPr>
          <w:rFonts w:ascii="Calibri" w:hAnsi="Calibri" w:cs="Calibri"/>
          <w:color w:val="222222"/>
          <w:shd w:val="clear" w:color="auto" w:fill="FFFFFF"/>
        </w:rPr>
        <w:t>limited information was available from the Coffey Partners (1991) reporting. The bore log for NB-7 with a recorded depth range from 0 m to 24 m BGL is reproduced below. The bore log provides indications of the top of the basal gravels being at 11 m BGL (-2.4 m MSL) and extending to 24 m BGL</w:t>
      </w:r>
      <w:r w:rsidR="000D7156">
        <w:rPr>
          <w:rFonts w:ascii="Calibri" w:hAnsi="Calibri" w:cs="Calibri"/>
          <w:color w:val="222222"/>
          <w:shd w:val="clear" w:color="auto" w:fill="FFFFFF"/>
        </w:rPr>
        <w:t>. Bore log WS3200D extended to 30.5 m BGL (-26.5 m MSL)</w:t>
      </w:r>
      <w:r w:rsidR="007400C2">
        <w:rPr>
          <w:rFonts w:ascii="Calibri" w:hAnsi="Calibri" w:cs="Calibri"/>
          <w:color w:val="222222"/>
          <w:shd w:val="clear" w:color="auto" w:fill="FFFFFF"/>
        </w:rPr>
        <w:t xml:space="preserve"> </w:t>
      </w:r>
      <w:r w:rsidR="000D7156">
        <w:rPr>
          <w:rFonts w:ascii="Calibri" w:hAnsi="Calibri" w:cs="Calibri"/>
          <w:color w:val="222222"/>
          <w:shd w:val="clear" w:color="auto" w:fill="FFFFFF"/>
        </w:rPr>
        <w:t>yet did not encounter Blue Bottom basement. Both bores were drill</w:t>
      </w:r>
      <w:r w:rsidR="007400C2">
        <w:rPr>
          <w:rFonts w:ascii="Calibri" w:hAnsi="Calibri" w:cs="Calibri"/>
          <w:color w:val="222222"/>
          <w:shd w:val="clear" w:color="auto" w:fill="FFFFFF"/>
        </w:rPr>
        <w:t>ed</w:t>
      </w:r>
      <w:r w:rsidR="000D7156">
        <w:rPr>
          <w:rFonts w:ascii="Calibri" w:hAnsi="Calibri" w:cs="Calibri"/>
          <w:color w:val="222222"/>
          <w:shd w:val="clear" w:color="auto" w:fill="FFFFFF"/>
        </w:rPr>
        <w:t xml:space="preserve"> along Burke Road, approximately 1.2 km north of the Cowan Block Northern Boundary Drain or southern shore of Rusty Lagoon.</w:t>
      </w:r>
      <w:r w:rsidR="007400C2">
        <w:rPr>
          <w:rFonts w:ascii="Calibri" w:hAnsi="Calibri" w:cs="Calibri"/>
          <w:color w:val="222222"/>
          <w:shd w:val="clear" w:color="auto" w:fill="FFFFFF"/>
        </w:rPr>
        <w:t xml:space="preserve"> </w:t>
      </w:r>
      <w:r w:rsidR="007400C2">
        <w:rPr>
          <w:rFonts w:ascii="Calibri" w:hAnsi="Calibri" w:cs="Calibri"/>
          <w:color w:val="222222"/>
          <w:shd w:val="clear" w:color="auto" w:fill="FFFFFF"/>
        </w:rPr>
        <w:fldChar w:fldCharType="begin"/>
      </w:r>
      <w:r w:rsidR="007400C2">
        <w:rPr>
          <w:rFonts w:ascii="Calibri" w:hAnsi="Calibri" w:cs="Calibri"/>
          <w:color w:val="222222"/>
          <w:shd w:val="clear" w:color="auto" w:fill="FFFFFF"/>
        </w:rPr>
        <w:instrText xml:space="preserve"> REF _Ref140133722 \h </w:instrText>
      </w:r>
      <w:r w:rsidR="007400C2">
        <w:rPr>
          <w:rFonts w:ascii="Calibri" w:hAnsi="Calibri" w:cs="Calibri"/>
          <w:color w:val="222222"/>
          <w:shd w:val="clear" w:color="auto" w:fill="FFFFFF"/>
        </w:rPr>
      </w:r>
      <w:r w:rsidR="007400C2">
        <w:rPr>
          <w:rFonts w:ascii="Calibri" w:hAnsi="Calibri" w:cs="Calibri"/>
          <w:color w:val="222222"/>
          <w:shd w:val="clear" w:color="auto" w:fill="FFFFFF"/>
        </w:rPr>
        <w:fldChar w:fldCharType="separate"/>
      </w:r>
      <w:r w:rsidR="007400C2">
        <w:t xml:space="preserve">Figure </w:t>
      </w:r>
      <w:r w:rsidR="007400C2">
        <w:rPr>
          <w:noProof/>
        </w:rPr>
        <w:t>1</w:t>
      </w:r>
      <w:r w:rsidR="007400C2">
        <w:rPr>
          <w:rFonts w:ascii="Calibri" w:hAnsi="Calibri" w:cs="Calibri"/>
          <w:color w:val="222222"/>
          <w:shd w:val="clear" w:color="auto" w:fill="FFFFFF"/>
        </w:rPr>
        <w:fldChar w:fldCharType="end"/>
      </w:r>
      <w:r w:rsidR="007400C2">
        <w:rPr>
          <w:rFonts w:ascii="Calibri" w:hAnsi="Calibri" w:cs="Calibri"/>
          <w:color w:val="222222"/>
          <w:shd w:val="clear" w:color="auto" w:fill="FFFFFF"/>
        </w:rPr>
        <w:t xml:space="preserve"> illustrates the relative depths of NB-7 and </w:t>
      </w:r>
      <w:r w:rsidR="00FD24CA">
        <w:rPr>
          <w:rFonts w:ascii="Calibri" w:hAnsi="Calibri" w:cs="Calibri"/>
          <w:color w:val="222222"/>
          <w:shd w:val="clear" w:color="auto" w:fill="FFFFFF"/>
        </w:rPr>
        <w:t>WS</w:t>
      </w:r>
      <w:r w:rsidR="007400C2">
        <w:rPr>
          <w:rFonts w:ascii="Calibri" w:hAnsi="Calibri" w:cs="Calibri"/>
          <w:color w:val="222222"/>
          <w:shd w:val="clear" w:color="auto" w:fill="FFFFFF"/>
        </w:rPr>
        <w:t>3200D</w:t>
      </w:r>
      <w:r w:rsidR="00FD24CA">
        <w:rPr>
          <w:rFonts w:ascii="Calibri" w:hAnsi="Calibri" w:cs="Calibri"/>
          <w:color w:val="222222"/>
          <w:shd w:val="clear" w:color="auto" w:fill="FFFFFF"/>
        </w:rPr>
        <w:t>, including the contact between basal gravels and Blue Bottom Formation.</w:t>
      </w:r>
    </w:p>
    <w:p w14:paraId="5CB1F31C" w14:textId="77777777" w:rsidR="007400C2" w:rsidRDefault="007400C2" w:rsidP="007400C2">
      <w:pPr>
        <w:keepNext/>
        <w:spacing w:before="0" w:after="160" w:line="259" w:lineRule="auto"/>
        <w:jc w:val="left"/>
      </w:pPr>
      <w:r>
        <w:rPr>
          <w:noProof/>
        </w:rPr>
        <w:drawing>
          <wp:inline distT="0" distB="0" distL="0" distR="0" wp14:anchorId="37A57427" wp14:editId="599FF817">
            <wp:extent cx="5727700" cy="4374515"/>
            <wp:effectExtent l="19050" t="19050" r="25400" b="26035"/>
            <wp:docPr id="119371909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27700" cy="4374515"/>
                    </a:xfrm>
                    <a:prstGeom prst="rect">
                      <a:avLst/>
                    </a:prstGeom>
                    <a:noFill/>
                    <a:ln w="12700">
                      <a:solidFill>
                        <a:schemeClr val="tx1"/>
                      </a:solidFill>
                    </a:ln>
                  </pic:spPr>
                </pic:pic>
              </a:graphicData>
            </a:graphic>
          </wp:inline>
        </w:drawing>
      </w:r>
    </w:p>
    <w:p w14:paraId="31C873AE" w14:textId="3B9212BF" w:rsidR="007400C2" w:rsidRDefault="007400C2" w:rsidP="007400C2">
      <w:pPr>
        <w:pStyle w:val="Caption"/>
        <w:jc w:val="left"/>
      </w:pPr>
      <w:bookmarkStart w:id="5" w:name="_Ref140133722"/>
      <w:r>
        <w:t xml:space="preserve">Figure </w:t>
      </w:r>
      <w:fldSimple w:instr=" SEQ Figure \* ARABIC ">
        <w:r>
          <w:rPr>
            <w:noProof/>
          </w:rPr>
          <w:t>1</w:t>
        </w:r>
      </w:fldSimple>
      <w:bookmarkEnd w:id="5"/>
      <w:r>
        <w:t>: Burke Road profile (cross-section) showing bores NB-7 and WS3200D extending to depth through mineral sands and basal gravels</w:t>
      </w:r>
      <w:r w:rsidR="0076672B">
        <w:t xml:space="preserve"> (from Coffey Partners, 1991)</w:t>
      </w:r>
    </w:p>
    <w:p w14:paraId="59D2F935" w14:textId="1587FB3A" w:rsidR="00291252" w:rsidRDefault="00FD24CA">
      <w:pPr>
        <w:spacing w:before="0" w:after="160" w:line="259" w:lineRule="auto"/>
        <w:jc w:val="left"/>
      </w:pPr>
      <w:r>
        <w:t>The saturated thickness of basal gravels at bore NB-7 is about 13 m</w:t>
      </w:r>
      <w:r w:rsidR="00E11FED">
        <w:t xml:space="preserve">. The bore log for WS3200D indicates basal gravel saturated thickness is between 15 and 17 m. The groundwater </w:t>
      </w:r>
      <w:r w:rsidR="001E7B68">
        <w:t xml:space="preserve">measured in </w:t>
      </w:r>
      <w:r w:rsidR="0076672B">
        <w:t xml:space="preserve">NB-7 and </w:t>
      </w:r>
      <w:r w:rsidR="001E7B68">
        <w:t xml:space="preserve">WS3200D during </w:t>
      </w:r>
      <w:r w:rsidR="00E11FED">
        <w:t xml:space="preserve">1990 was measured as having </w:t>
      </w:r>
      <w:r w:rsidR="001E7B68">
        <w:t>electrical conductivit</w:t>
      </w:r>
      <w:r w:rsidR="0076672B">
        <w:t>ies</w:t>
      </w:r>
      <w:r w:rsidR="001E7B68">
        <w:t xml:space="preserve"> of </w:t>
      </w:r>
      <w:r w:rsidR="0076672B">
        <w:t xml:space="preserve">approximately </w:t>
      </w:r>
      <w:r w:rsidR="001E7B68">
        <w:t>38</w:t>
      </w:r>
      <w:r w:rsidR="0076672B">
        <w:t>0</w:t>
      </w:r>
      <w:r w:rsidR="001E7B68">
        <w:t xml:space="preserve"> </w:t>
      </w:r>
      <w:r w:rsidR="001E7B68" w:rsidRPr="001E7B68">
        <w:rPr>
          <w:rFonts w:ascii="Symbol" w:hAnsi="Symbol"/>
        </w:rPr>
        <w:t>m</w:t>
      </w:r>
      <w:r w:rsidR="001E7B68">
        <w:t>S/cm, indicative of a lack of seawater intrusion and fresh groundwater.</w:t>
      </w:r>
      <w:r w:rsidR="00291252">
        <w:br w:type="page"/>
      </w:r>
    </w:p>
    <w:p w14:paraId="76F7C334" w14:textId="24129F76" w:rsidR="00E83ABD" w:rsidRPr="00F21965" w:rsidRDefault="00902F94" w:rsidP="00902F94">
      <w:pPr>
        <w:pStyle w:val="Subtitle"/>
      </w:pPr>
      <w:r>
        <w:lastRenderedPageBreak/>
        <w:t xml:space="preserve">Appendix A – </w:t>
      </w:r>
      <w:r w:rsidR="00F21965">
        <w:t>Bore</w:t>
      </w:r>
      <w:r>
        <w:t xml:space="preserve"> L</w:t>
      </w:r>
      <w:r w:rsidR="00F21965">
        <w:t>og for NB-7 (Coffey Partners, 1991)</w:t>
      </w:r>
    </w:p>
    <w:p w14:paraId="1496BB5B" w14:textId="683E501B" w:rsidR="00291252" w:rsidRDefault="00291252">
      <w:r w:rsidRPr="00291252">
        <w:rPr>
          <w:noProof/>
        </w:rPr>
        <w:drawing>
          <wp:inline distT="0" distB="0" distL="0" distR="0" wp14:anchorId="573815EC" wp14:editId="5E019DE6">
            <wp:extent cx="4981651" cy="8152547"/>
            <wp:effectExtent l="0" t="0" r="0" b="1270"/>
            <wp:docPr id="1208027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10207" cy="8199279"/>
                    </a:xfrm>
                    <a:prstGeom prst="rect">
                      <a:avLst/>
                    </a:prstGeom>
                    <a:noFill/>
                    <a:ln>
                      <a:noFill/>
                    </a:ln>
                  </pic:spPr>
                </pic:pic>
              </a:graphicData>
            </a:graphic>
          </wp:inline>
        </w:drawing>
      </w:r>
    </w:p>
    <w:p w14:paraId="2000E3B8" w14:textId="5823DC89" w:rsidR="00E83ABD" w:rsidRPr="00E83ABD" w:rsidRDefault="00E83ABD">
      <w:pPr>
        <w:rPr>
          <w:b/>
          <w:bCs/>
        </w:rPr>
      </w:pPr>
      <w:r>
        <w:rPr>
          <w:b/>
          <w:bCs/>
        </w:rPr>
        <w:t>NB-7 Test Bore on Burke Road (June 1990)</w:t>
      </w:r>
    </w:p>
    <w:p w14:paraId="1BBE3667" w14:textId="77777777" w:rsidR="00291252" w:rsidRPr="007B0F40" w:rsidRDefault="00291252"/>
    <w:sectPr w:rsidR="00291252" w:rsidRPr="007B0F4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192205F"/>
    <w:multiLevelType w:val="hybridMultilevel"/>
    <w:tmpl w:val="4D0C36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683924DF"/>
    <w:multiLevelType w:val="multilevel"/>
    <w:tmpl w:val="3D52EE5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432"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16cid:durableId="1093014141">
    <w:abstractNumId w:val="1"/>
  </w:num>
  <w:num w:numId="2" w16cid:durableId="19887820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63D"/>
    <w:rsid w:val="000B6B53"/>
    <w:rsid w:val="000D7156"/>
    <w:rsid w:val="001114E7"/>
    <w:rsid w:val="001B4F44"/>
    <w:rsid w:val="001E7B68"/>
    <w:rsid w:val="002446E0"/>
    <w:rsid w:val="00250493"/>
    <w:rsid w:val="00283B7C"/>
    <w:rsid w:val="00291192"/>
    <w:rsid w:val="00291252"/>
    <w:rsid w:val="003054D6"/>
    <w:rsid w:val="0033500D"/>
    <w:rsid w:val="004D3921"/>
    <w:rsid w:val="005621CB"/>
    <w:rsid w:val="00570126"/>
    <w:rsid w:val="00640CEF"/>
    <w:rsid w:val="006D3C60"/>
    <w:rsid w:val="007400C2"/>
    <w:rsid w:val="0076672B"/>
    <w:rsid w:val="007B0F40"/>
    <w:rsid w:val="007F2E0D"/>
    <w:rsid w:val="00902F94"/>
    <w:rsid w:val="0091363D"/>
    <w:rsid w:val="00AF163A"/>
    <w:rsid w:val="00B1341F"/>
    <w:rsid w:val="00B55AF2"/>
    <w:rsid w:val="00CF67FB"/>
    <w:rsid w:val="00D824C7"/>
    <w:rsid w:val="00E11FED"/>
    <w:rsid w:val="00E83ABD"/>
    <w:rsid w:val="00EC2A70"/>
    <w:rsid w:val="00EE556F"/>
    <w:rsid w:val="00F21965"/>
    <w:rsid w:val="00FD24CA"/>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CC51D5"/>
  <w15:chartTrackingRefBased/>
  <w15:docId w15:val="{453C204C-C6A2-4087-8B45-33C65D2B0F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N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1" w:unhideWhenUsed="1" w:qFormat="1"/>
    <w:lsdException w:name="heading 5" w:semiHidden="1" w:uiPriority="9"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363D"/>
    <w:pPr>
      <w:spacing w:before="120" w:after="120" w:line="276" w:lineRule="auto"/>
      <w:jc w:val="both"/>
    </w:pPr>
    <w:rPr>
      <w:rFonts w:eastAsia="Times New Roman" w:cs="Times New Roman"/>
      <w:kern w:val="0"/>
      <w:sz w:val="20"/>
      <w:szCs w:val="20"/>
      <w14:ligatures w14:val="none"/>
    </w:rPr>
  </w:style>
  <w:style w:type="paragraph" w:styleId="Heading1">
    <w:name w:val="heading 1"/>
    <w:basedOn w:val="Normal"/>
    <w:next w:val="Normal"/>
    <w:link w:val="Heading1Char"/>
    <w:uiPriority w:val="1"/>
    <w:qFormat/>
    <w:rsid w:val="0091363D"/>
    <w:pPr>
      <w:keepNext/>
      <w:keepLines/>
      <w:numPr>
        <w:numId w:val="1"/>
      </w:numPr>
      <w:spacing w:before="240" w:after="0"/>
      <w:outlineLvl w:val="0"/>
    </w:pPr>
    <w:rPr>
      <w:rFonts w:eastAsiaTheme="majorEastAsia" w:cstheme="majorBidi"/>
      <w:b/>
      <w:sz w:val="28"/>
      <w:szCs w:val="28"/>
    </w:rPr>
  </w:style>
  <w:style w:type="paragraph" w:styleId="Heading2">
    <w:name w:val="heading 2"/>
    <w:basedOn w:val="Normal"/>
    <w:next w:val="Normal"/>
    <w:link w:val="Heading2Char"/>
    <w:uiPriority w:val="9"/>
    <w:unhideWhenUsed/>
    <w:qFormat/>
    <w:rsid w:val="0091363D"/>
    <w:pPr>
      <w:keepNext/>
      <w:keepLines/>
      <w:numPr>
        <w:ilvl w:val="1"/>
        <w:numId w:val="1"/>
      </w:numPr>
      <w:spacing w:before="40" w:after="0"/>
      <w:outlineLvl w:val="1"/>
    </w:pPr>
    <w:rPr>
      <w:rFonts w:eastAsiaTheme="majorEastAsia" w:cstheme="majorBidi"/>
      <w:b/>
      <w:sz w:val="24"/>
      <w:szCs w:val="24"/>
    </w:rPr>
  </w:style>
  <w:style w:type="paragraph" w:styleId="Heading3">
    <w:name w:val="heading 3"/>
    <w:basedOn w:val="Normal"/>
    <w:next w:val="Normal"/>
    <w:link w:val="Heading3Char"/>
    <w:uiPriority w:val="9"/>
    <w:unhideWhenUsed/>
    <w:qFormat/>
    <w:rsid w:val="0091363D"/>
    <w:pPr>
      <w:keepNext/>
      <w:keepLines/>
      <w:numPr>
        <w:ilvl w:val="2"/>
        <w:numId w:val="1"/>
      </w:numPr>
      <w:spacing w:before="40" w:after="0"/>
      <w:outlineLvl w:val="2"/>
    </w:pPr>
    <w:rPr>
      <w:rFonts w:eastAsiaTheme="majorEastAsia" w:cstheme="majorBidi"/>
      <w:b/>
      <w:i/>
      <w:iCs/>
      <w:sz w:val="24"/>
      <w:szCs w:val="22"/>
    </w:rPr>
  </w:style>
  <w:style w:type="paragraph" w:styleId="Heading4">
    <w:name w:val="heading 4"/>
    <w:basedOn w:val="Normal"/>
    <w:next w:val="Normal"/>
    <w:link w:val="Heading4Char"/>
    <w:uiPriority w:val="1"/>
    <w:unhideWhenUsed/>
    <w:qFormat/>
    <w:rsid w:val="0091363D"/>
    <w:pPr>
      <w:keepNext/>
      <w:keepLines/>
      <w:numPr>
        <w:ilvl w:val="3"/>
        <w:numId w:val="1"/>
      </w:numPr>
      <w:spacing w:before="40" w:after="0"/>
      <w:outlineLvl w:val="3"/>
    </w:pPr>
    <w:rPr>
      <w:rFonts w:eastAsiaTheme="majorEastAsia" w:cstheme="majorBidi"/>
      <w:b/>
      <w:i/>
      <w:szCs w:val="16"/>
    </w:rPr>
  </w:style>
  <w:style w:type="paragraph" w:styleId="Heading6">
    <w:name w:val="heading 6"/>
    <w:basedOn w:val="Normal"/>
    <w:next w:val="Normal"/>
    <w:link w:val="Heading6Char"/>
    <w:uiPriority w:val="1"/>
    <w:semiHidden/>
    <w:unhideWhenUsed/>
    <w:qFormat/>
    <w:rsid w:val="0091363D"/>
    <w:pPr>
      <w:keepNext/>
      <w:keepLines/>
      <w:numPr>
        <w:ilvl w:val="5"/>
        <w:numId w:val="1"/>
      </w:numPr>
      <w:spacing w:before="40" w:after="0"/>
      <w:outlineLvl w:val="5"/>
    </w:pPr>
    <w:rPr>
      <w:rFonts w:eastAsiaTheme="majorEastAsia" w:cstheme="majorBidi"/>
      <w:color w:val="1F3763" w:themeColor="accent1" w:themeShade="7F"/>
      <w:sz w:val="24"/>
    </w:rPr>
  </w:style>
  <w:style w:type="paragraph" w:styleId="Heading7">
    <w:name w:val="heading 7"/>
    <w:basedOn w:val="Normal"/>
    <w:next w:val="Normal"/>
    <w:link w:val="Heading7Char"/>
    <w:uiPriority w:val="1"/>
    <w:semiHidden/>
    <w:unhideWhenUsed/>
    <w:qFormat/>
    <w:rsid w:val="0091363D"/>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1"/>
    <w:semiHidden/>
    <w:unhideWhenUsed/>
    <w:qFormat/>
    <w:rsid w:val="0091363D"/>
    <w:pPr>
      <w:keepNext/>
      <w:keepLines/>
      <w:numPr>
        <w:ilvl w:val="7"/>
        <w:numId w:val="1"/>
      </w:numPr>
      <w:spacing w:before="40" w:after="0"/>
      <w:outlineLvl w:val="7"/>
    </w:pPr>
    <w:rPr>
      <w:rFonts w:asciiTheme="majorHAnsi" w:eastAsiaTheme="majorEastAsia" w:hAnsiTheme="majorHAnsi" w:cstheme="majorBidi"/>
      <w:color w:val="272727" w:themeColor="text1" w:themeTint="D8"/>
      <w:szCs w:val="21"/>
    </w:rPr>
  </w:style>
  <w:style w:type="paragraph" w:styleId="Heading9">
    <w:name w:val="heading 9"/>
    <w:aliases w:val="ExecSummaryTitle"/>
    <w:basedOn w:val="Normal"/>
    <w:next w:val="Normal"/>
    <w:link w:val="Heading9Char"/>
    <w:uiPriority w:val="1"/>
    <w:unhideWhenUsed/>
    <w:qFormat/>
    <w:rsid w:val="0091363D"/>
    <w:pPr>
      <w:keepNext/>
      <w:keepLines/>
      <w:numPr>
        <w:ilvl w:val="8"/>
        <w:numId w:val="1"/>
      </w:numPr>
      <w:spacing w:before="40" w:after="0"/>
      <w:outlineLvl w:val="8"/>
    </w:pPr>
    <w:rPr>
      <w:rFonts w:asciiTheme="majorHAnsi" w:eastAsiaTheme="majorEastAsia" w:hAnsiTheme="majorHAnsi" w:cstheme="majorBidi"/>
      <w:i/>
      <w:iCs/>
      <w:color w:val="272727" w:themeColor="text1" w:themeTint="D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91363D"/>
    <w:rPr>
      <w:rFonts w:eastAsiaTheme="majorEastAsia" w:cstheme="majorBidi"/>
      <w:b/>
      <w:kern w:val="0"/>
      <w:sz w:val="28"/>
      <w:szCs w:val="28"/>
      <w14:ligatures w14:val="none"/>
    </w:rPr>
  </w:style>
  <w:style w:type="character" w:customStyle="1" w:styleId="Heading2Char">
    <w:name w:val="Heading 2 Char"/>
    <w:basedOn w:val="DefaultParagraphFont"/>
    <w:link w:val="Heading2"/>
    <w:uiPriority w:val="9"/>
    <w:rsid w:val="0091363D"/>
    <w:rPr>
      <w:rFonts w:eastAsiaTheme="majorEastAsia" w:cstheme="majorBidi"/>
      <w:b/>
      <w:kern w:val="0"/>
      <w:sz w:val="24"/>
      <w:szCs w:val="24"/>
      <w14:ligatures w14:val="none"/>
    </w:rPr>
  </w:style>
  <w:style w:type="character" w:customStyle="1" w:styleId="Heading3Char">
    <w:name w:val="Heading 3 Char"/>
    <w:basedOn w:val="DefaultParagraphFont"/>
    <w:link w:val="Heading3"/>
    <w:uiPriority w:val="9"/>
    <w:rsid w:val="0091363D"/>
    <w:rPr>
      <w:rFonts w:eastAsiaTheme="majorEastAsia" w:cstheme="majorBidi"/>
      <w:b/>
      <w:i/>
      <w:iCs/>
      <w:kern w:val="0"/>
      <w:sz w:val="24"/>
      <w14:ligatures w14:val="none"/>
    </w:rPr>
  </w:style>
  <w:style w:type="character" w:customStyle="1" w:styleId="Heading4Char">
    <w:name w:val="Heading 4 Char"/>
    <w:basedOn w:val="DefaultParagraphFont"/>
    <w:link w:val="Heading4"/>
    <w:uiPriority w:val="1"/>
    <w:rsid w:val="0091363D"/>
    <w:rPr>
      <w:rFonts w:eastAsiaTheme="majorEastAsia" w:cstheme="majorBidi"/>
      <w:b/>
      <w:i/>
      <w:kern w:val="0"/>
      <w:sz w:val="20"/>
      <w:szCs w:val="16"/>
      <w14:ligatures w14:val="none"/>
    </w:rPr>
  </w:style>
  <w:style w:type="character" w:customStyle="1" w:styleId="Heading6Char">
    <w:name w:val="Heading 6 Char"/>
    <w:basedOn w:val="DefaultParagraphFont"/>
    <w:link w:val="Heading6"/>
    <w:uiPriority w:val="1"/>
    <w:semiHidden/>
    <w:rsid w:val="0091363D"/>
    <w:rPr>
      <w:rFonts w:eastAsiaTheme="majorEastAsia" w:cstheme="majorBidi"/>
      <w:color w:val="1F3763" w:themeColor="accent1" w:themeShade="7F"/>
      <w:kern w:val="0"/>
      <w:sz w:val="24"/>
      <w:szCs w:val="20"/>
      <w14:ligatures w14:val="none"/>
    </w:rPr>
  </w:style>
  <w:style w:type="character" w:customStyle="1" w:styleId="Heading7Char">
    <w:name w:val="Heading 7 Char"/>
    <w:basedOn w:val="DefaultParagraphFont"/>
    <w:link w:val="Heading7"/>
    <w:uiPriority w:val="1"/>
    <w:semiHidden/>
    <w:rsid w:val="0091363D"/>
    <w:rPr>
      <w:rFonts w:asciiTheme="majorHAnsi" w:eastAsiaTheme="majorEastAsia" w:hAnsiTheme="majorHAnsi" w:cstheme="majorBidi"/>
      <w:i/>
      <w:iCs/>
      <w:color w:val="1F3763" w:themeColor="accent1" w:themeShade="7F"/>
      <w:kern w:val="0"/>
      <w:sz w:val="20"/>
      <w:szCs w:val="20"/>
      <w14:ligatures w14:val="none"/>
    </w:rPr>
  </w:style>
  <w:style w:type="character" w:customStyle="1" w:styleId="Heading8Char">
    <w:name w:val="Heading 8 Char"/>
    <w:basedOn w:val="DefaultParagraphFont"/>
    <w:link w:val="Heading8"/>
    <w:uiPriority w:val="1"/>
    <w:semiHidden/>
    <w:rsid w:val="0091363D"/>
    <w:rPr>
      <w:rFonts w:asciiTheme="majorHAnsi" w:eastAsiaTheme="majorEastAsia" w:hAnsiTheme="majorHAnsi" w:cstheme="majorBidi"/>
      <w:color w:val="272727" w:themeColor="text1" w:themeTint="D8"/>
      <w:kern w:val="0"/>
      <w:sz w:val="20"/>
      <w:szCs w:val="21"/>
      <w14:ligatures w14:val="none"/>
    </w:rPr>
  </w:style>
  <w:style w:type="character" w:customStyle="1" w:styleId="Heading9Char">
    <w:name w:val="Heading 9 Char"/>
    <w:aliases w:val="ExecSummaryTitle Char"/>
    <w:basedOn w:val="DefaultParagraphFont"/>
    <w:link w:val="Heading9"/>
    <w:uiPriority w:val="1"/>
    <w:rsid w:val="0091363D"/>
    <w:rPr>
      <w:rFonts w:asciiTheme="majorHAnsi" w:eastAsiaTheme="majorEastAsia" w:hAnsiTheme="majorHAnsi" w:cstheme="majorBidi"/>
      <w:i/>
      <w:iCs/>
      <w:color w:val="272727" w:themeColor="text1" w:themeTint="D8"/>
      <w:kern w:val="0"/>
      <w:sz w:val="20"/>
      <w:szCs w:val="21"/>
      <w14:ligatures w14:val="none"/>
    </w:rPr>
  </w:style>
  <w:style w:type="paragraph" w:styleId="ListParagraph">
    <w:name w:val="List Paragraph"/>
    <w:basedOn w:val="Normal"/>
    <w:link w:val="ListParagraphChar"/>
    <w:uiPriority w:val="34"/>
    <w:qFormat/>
    <w:rsid w:val="0091363D"/>
    <w:pPr>
      <w:ind w:left="720"/>
      <w:contextualSpacing/>
    </w:pPr>
  </w:style>
  <w:style w:type="character" w:customStyle="1" w:styleId="ListParagraphChar">
    <w:name w:val="List Paragraph Char"/>
    <w:basedOn w:val="DefaultParagraphFont"/>
    <w:link w:val="ListParagraph"/>
    <w:uiPriority w:val="34"/>
    <w:rsid w:val="0091363D"/>
    <w:rPr>
      <w:rFonts w:eastAsia="Times New Roman" w:cs="Times New Roman"/>
      <w:kern w:val="0"/>
      <w:sz w:val="20"/>
      <w:szCs w:val="20"/>
      <w14:ligatures w14:val="none"/>
    </w:rPr>
  </w:style>
  <w:style w:type="paragraph" w:customStyle="1" w:styleId="TableText">
    <w:name w:val="Table Text"/>
    <w:basedOn w:val="BodyText"/>
    <w:qFormat/>
    <w:rsid w:val="004D3921"/>
    <w:pPr>
      <w:spacing w:before="0"/>
    </w:pPr>
    <w:rPr>
      <w:rFonts w:ascii="Arial" w:hAnsi="Arial"/>
      <w:color w:val="4C5459"/>
      <w:szCs w:val="24"/>
    </w:rPr>
  </w:style>
  <w:style w:type="paragraph" w:styleId="BodyText">
    <w:name w:val="Body Text"/>
    <w:basedOn w:val="Normal"/>
    <w:link w:val="BodyTextChar"/>
    <w:uiPriority w:val="99"/>
    <w:semiHidden/>
    <w:unhideWhenUsed/>
    <w:rsid w:val="004D3921"/>
  </w:style>
  <w:style w:type="character" w:customStyle="1" w:styleId="BodyTextChar">
    <w:name w:val="Body Text Char"/>
    <w:basedOn w:val="DefaultParagraphFont"/>
    <w:link w:val="BodyText"/>
    <w:uiPriority w:val="99"/>
    <w:semiHidden/>
    <w:rsid w:val="004D3921"/>
    <w:rPr>
      <w:rFonts w:eastAsia="Times New Roman" w:cs="Times New Roman"/>
      <w:kern w:val="0"/>
      <w:sz w:val="20"/>
      <w:szCs w:val="20"/>
      <w14:ligatures w14:val="none"/>
    </w:rPr>
  </w:style>
  <w:style w:type="paragraph" w:styleId="Caption">
    <w:name w:val="caption"/>
    <w:basedOn w:val="Normal"/>
    <w:next w:val="Normal"/>
    <w:uiPriority w:val="35"/>
    <w:unhideWhenUsed/>
    <w:qFormat/>
    <w:rsid w:val="00640CEF"/>
    <w:pPr>
      <w:spacing w:before="0" w:after="200" w:line="240" w:lineRule="auto"/>
    </w:pPr>
    <w:rPr>
      <w:i/>
      <w:iCs/>
      <w:color w:val="44546A" w:themeColor="text2"/>
      <w:sz w:val="18"/>
      <w:szCs w:val="18"/>
    </w:rPr>
  </w:style>
  <w:style w:type="table" w:styleId="TableGrid">
    <w:name w:val="Table Grid"/>
    <w:basedOn w:val="TableNormal"/>
    <w:uiPriority w:val="39"/>
    <w:rsid w:val="00283B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902F94"/>
    <w:pPr>
      <w:numPr>
        <w:ilvl w:val="1"/>
      </w:numPr>
      <w:spacing w:after="160"/>
    </w:pPr>
    <w:rPr>
      <w:rFonts w:eastAsiaTheme="minorEastAsia"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902F94"/>
    <w:rPr>
      <w:rFonts w:eastAsiaTheme="minorEastAsia"/>
      <w:color w:val="5A5A5A" w:themeColor="text1" w:themeTint="A5"/>
      <w:spacing w:val="15"/>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41EB63-1EB9-4F25-91A9-EF41B8C970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1188</Words>
  <Characters>6772</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Jens Rekker</dc:creator>
  <cp:keywords/>
  <dc:description/>
  <cp:lastModifiedBy>Jens Rekker</cp:lastModifiedBy>
  <cp:revision>2</cp:revision>
  <dcterms:created xsi:type="dcterms:W3CDTF">2023-07-27T22:55:00Z</dcterms:created>
  <dcterms:modified xsi:type="dcterms:W3CDTF">2023-07-27T22:55:00Z</dcterms:modified>
</cp:coreProperties>
</file>